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FF0273" w14:textId="26067E3C" w:rsidR="00237996" w:rsidRPr="006A4B60" w:rsidRDefault="00C02076" w:rsidP="002D4739">
      <w:pPr>
        <w:pStyle w:val="CS-IBMTOCforTOCTitleonly"/>
        <w:rPr>
          <w:rFonts w:ascii="Century Gothic" w:hAnsi="Century Gothic"/>
        </w:rPr>
      </w:pPr>
      <w:r>
        <w:rPr>
          <w:rFonts w:ascii="Century Gothic" w:hAnsi="Century Gothic"/>
        </w:rPr>
        <w:t xml:space="preserve">Section 2 </w:t>
      </w:r>
      <w:r w:rsidR="00237996" w:rsidRPr="006A4B60">
        <w:rPr>
          <w:rFonts w:ascii="Century Gothic" w:hAnsi="Century Gothic"/>
        </w:rPr>
        <w:t>Table of Contents</w:t>
      </w:r>
    </w:p>
    <w:p w14:paraId="0EBCDB0C" w14:textId="2F9009AA" w:rsidR="00BB519A" w:rsidRDefault="00D41F62">
      <w:pPr>
        <w:pStyle w:val="TOC1"/>
        <w:rPr>
          <w:rFonts w:asciiTheme="minorHAnsi" w:eastAsiaTheme="minorEastAsia" w:hAnsiTheme="minorHAnsi" w:cstheme="minorBidi"/>
          <w:b w:val="0"/>
          <w:color w:val="auto"/>
          <w:kern w:val="2"/>
          <w:sz w:val="24"/>
          <w:szCs w:val="24"/>
          <w:lang w:eastAsia="en-US"/>
          <w14:ligatures w14:val="standardContextual"/>
        </w:rPr>
      </w:pPr>
      <w:r>
        <w:rPr>
          <w:rFonts w:ascii="Arial Bold" w:hAnsi="Arial Bold"/>
          <w:caps/>
          <w:szCs w:val="24"/>
        </w:rPr>
        <w:fldChar w:fldCharType="begin"/>
      </w:r>
      <w:r>
        <w:rPr>
          <w:rFonts w:ascii="Arial Bold" w:hAnsi="Arial Bold"/>
          <w:szCs w:val="24"/>
        </w:rPr>
        <w:instrText xml:space="preserve"> TOC \o "1-3" \h \z \t "CS - IBM Heading 1,1,CS - IBM Heading 2,2,CS - IBM Heading 3,3" </w:instrText>
      </w:r>
      <w:r>
        <w:rPr>
          <w:rFonts w:ascii="Arial Bold" w:hAnsi="Arial Bold"/>
          <w:caps/>
          <w:szCs w:val="24"/>
        </w:rPr>
        <w:fldChar w:fldCharType="separate"/>
      </w:r>
      <w:hyperlink w:anchor="_Toc213084237" w:history="1">
        <w:r w:rsidR="00BB519A" w:rsidRPr="00CD502E">
          <w:rPr>
            <w:rStyle w:val="Hyperlink"/>
          </w:rPr>
          <w:t>2 - Firm Qualifications</w:t>
        </w:r>
        <w:r w:rsidR="00BB519A">
          <w:rPr>
            <w:webHidden/>
          </w:rPr>
          <w:tab/>
        </w:r>
        <w:r w:rsidR="00BB519A">
          <w:rPr>
            <w:webHidden/>
          </w:rPr>
          <w:fldChar w:fldCharType="begin"/>
        </w:r>
        <w:r w:rsidR="00BB519A">
          <w:rPr>
            <w:webHidden/>
          </w:rPr>
          <w:instrText xml:space="preserve"> PAGEREF _Toc213084237 \h </w:instrText>
        </w:r>
        <w:r w:rsidR="00BB519A">
          <w:rPr>
            <w:webHidden/>
          </w:rPr>
        </w:r>
        <w:r w:rsidR="00BB519A">
          <w:rPr>
            <w:webHidden/>
          </w:rPr>
          <w:fldChar w:fldCharType="separate"/>
        </w:r>
        <w:r w:rsidR="00BB519A">
          <w:rPr>
            <w:webHidden/>
          </w:rPr>
          <w:t>1</w:t>
        </w:r>
        <w:r w:rsidR="00BB519A">
          <w:rPr>
            <w:webHidden/>
          </w:rPr>
          <w:fldChar w:fldCharType="end"/>
        </w:r>
      </w:hyperlink>
    </w:p>
    <w:p w14:paraId="7E2C22D6" w14:textId="0D68DF68" w:rsidR="00BB519A" w:rsidRDefault="00BB519A" w:rsidP="00BB519A">
      <w:pPr>
        <w:pStyle w:val="TOC2"/>
        <w:spacing w:line="360" w:lineRule="auto"/>
        <w:rPr>
          <w:rFonts w:asciiTheme="minorHAnsi" w:eastAsiaTheme="minorEastAsia" w:hAnsiTheme="minorHAnsi" w:cstheme="minorBidi"/>
          <w:kern w:val="2"/>
          <w:sz w:val="24"/>
          <w:szCs w:val="24"/>
          <w:lang w:eastAsia="en-US"/>
          <w14:ligatures w14:val="standardContextual"/>
        </w:rPr>
      </w:pPr>
      <w:hyperlink w:anchor="_Toc213084238" w:history="1">
        <w:r w:rsidRPr="00CD502E">
          <w:rPr>
            <w:rStyle w:val="Hyperlink"/>
          </w:rPr>
          <w:t>2.1</w:t>
        </w:r>
        <w:r>
          <w:rPr>
            <w:rFonts w:asciiTheme="minorHAnsi" w:eastAsiaTheme="minorEastAsia" w:hAnsiTheme="minorHAnsi" w:cstheme="minorBidi"/>
            <w:kern w:val="2"/>
            <w:sz w:val="24"/>
            <w:szCs w:val="24"/>
            <w:lang w:eastAsia="en-US"/>
            <w14:ligatures w14:val="standardContextual"/>
          </w:rPr>
          <w:tab/>
        </w:r>
        <w:r w:rsidRPr="00CD502E">
          <w:rPr>
            <w:rStyle w:val="Hyperlink"/>
          </w:rPr>
          <w:t>Firm Experience Details</w:t>
        </w:r>
        <w:r>
          <w:rPr>
            <w:webHidden/>
          </w:rPr>
          <w:tab/>
        </w:r>
        <w:r>
          <w:rPr>
            <w:webHidden/>
          </w:rPr>
          <w:fldChar w:fldCharType="begin"/>
        </w:r>
        <w:r>
          <w:rPr>
            <w:webHidden/>
          </w:rPr>
          <w:instrText xml:space="preserve"> PAGEREF _Toc213084238 \h </w:instrText>
        </w:r>
        <w:r>
          <w:rPr>
            <w:webHidden/>
          </w:rPr>
        </w:r>
        <w:r>
          <w:rPr>
            <w:webHidden/>
          </w:rPr>
          <w:fldChar w:fldCharType="separate"/>
        </w:r>
        <w:r>
          <w:rPr>
            <w:webHidden/>
          </w:rPr>
          <w:t>1</w:t>
        </w:r>
        <w:r>
          <w:rPr>
            <w:webHidden/>
          </w:rPr>
          <w:fldChar w:fldCharType="end"/>
        </w:r>
      </w:hyperlink>
    </w:p>
    <w:p w14:paraId="7E4176E1" w14:textId="7AC601D0" w:rsidR="00BB519A" w:rsidRDefault="00BB519A" w:rsidP="00BB519A">
      <w:pPr>
        <w:pStyle w:val="TOC3"/>
        <w:spacing w:line="360" w:lineRule="auto"/>
        <w:rPr>
          <w:rFonts w:asciiTheme="minorHAnsi" w:eastAsiaTheme="minorEastAsia" w:hAnsiTheme="minorHAnsi" w:cstheme="minorBidi"/>
          <w:kern w:val="2"/>
          <w:sz w:val="24"/>
          <w:szCs w:val="24"/>
          <w:lang w:val="en-US" w:eastAsia="en-US"/>
          <w14:ligatures w14:val="standardContextual"/>
        </w:rPr>
      </w:pPr>
      <w:hyperlink w:anchor="_Toc213084239" w:history="1">
        <w:r w:rsidRPr="00CD502E">
          <w:rPr>
            <w:rStyle w:val="Hyperlink"/>
          </w:rPr>
          <w:t>2.1.1</w:t>
        </w:r>
        <w:r>
          <w:rPr>
            <w:rFonts w:asciiTheme="minorHAnsi" w:eastAsiaTheme="minorEastAsia" w:hAnsiTheme="minorHAnsi" w:cstheme="minorBidi"/>
            <w:kern w:val="2"/>
            <w:sz w:val="24"/>
            <w:szCs w:val="24"/>
            <w:lang w:val="en-US" w:eastAsia="en-US"/>
            <w14:ligatures w14:val="standardContextual"/>
          </w:rPr>
          <w:tab/>
        </w:r>
        <w:r w:rsidRPr="00CD502E">
          <w:rPr>
            <w:rStyle w:val="Hyperlink"/>
          </w:rPr>
          <w:t>Firm Mandatory Qualifications (5.2.1)</w:t>
        </w:r>
        <w:r>
          <w:rPr>
            <w:webHidden/>
          </w:rPr>
          <w:tab/>
        </w:r>
        <w:r>
          <w:rPr>
            <w:webHidden/>
          </w:rPr>
          <w:fldChar w:fldCharType="begin"/>
        </w:r>
        <w:r>
          <w:rPr>
            <w:webHidden/>
          </w:rPr>
          <w:instrText xml:space="preserve"> PAGEREF _Toc213084239 \h </w:instrText>
        </w:r>
        <w:r>
          <w:rPr>
            <w:webHidden/>
          </w:rPr>
        </w:r>
        <w:r>
          <w:rPr>
            <w:webHidden/>
          </w:rPr>
          <w:fldChar w:fldCharType="separate"/>
        </w:r>
        <w:r>
          <w:rPr>
            <w:webHidden/>
          </w:rPr>
          <w:t>1</w:t>
        </w:r>
        <w:r>
          <w:rPr>
            <w:webHidden/>
          </w:rPr>
          <w:fldChar w:fldCharType="end"/>
        </w:r>
      </w:hyperlink>
    </w:p>
    <w:p w14:paraId="307AA1C8" w14:textId="58701F8B" w:rsidR="00BB519A" w:rsidRDefault="00BB519A" w:rsidP="00BB519A">
      <w:pPr>
        <w:pStyle w:val="TOC3"/>
        <w:spacing w:line="360" w:lineRule="auto"/>
        <w:rPr>
          <w:rFonts w:asciiTheme="minorHAnsi" w:eastAsiaTheme="minorEastAsia" w:hAnsiTheme="minorHAnsi" w:cstheme="minorBidi"/>
          <w:kern w:val="2"/>
          <w:sz w:val="24"/>
          <w:szCs w:val="24"/>
          <w:lang w:val="en-US" w:eastAsia="en-US"/>
          <w14:ligatures w14:val="standardContextual"/>
        </w:rPr>
      </w:pPr>
      <w:hyperlink w:anchor="_Toc213084240" w:history="1">
        <w:r w:rsidRPr="00CD502E">
          <w:rPr>
            <w:rStyle w:val="Hyperlink"/>
          </w:rPr>
          <w:t>2.1.2</w:t>
        </w:r>
        <w:r>
          <w:rPr>
            <w:rFonts w:asciiTheme="minorHAnsi" w:eastAsiaTheme="minorEastAsia" w:hAnsiTheme="minorHAnsi" w:cstheme="minorBidi"/>
            <w:kern w:val="2"/>
            <w:sz w:val="24"/>
            <w:szCs w:val="24"/>
            <w:lang w:val="en-US" w:eastAsia="en-US"/>
            <w14:ligatures w14:val="standardContextual"/>
          </w:rPr>
          <w:tab/>
        </w:r>
        <w:r w:rsidRPr="00CD502E">
          <w:rPr>
            <w:rStyle w:val="Hyperlink"/>
          </w:rPr>
          <w:t>Firm Organizational Chart (6.3.3.4.1)</w:t>
        </w:r>
        <w:r>
          <w:rPr>
            <w:webHidden/>
          </w:rPr>
          <w:tab/>
        </w:r>
        <w:r>
          <w:rPr>
            <w:webHidden/>
          </w:rPr>
          <w:fldChar w:fldCharType="begin"/>
        </w:r>
        <w:r>
          <w:rPr>
            <w:webHidden/>
          </w:rPr>
          <w:instrText xml:space="preserve"> PAGEREF _Toc213084240 \h </w:instrText>
        </w:r>
        <w:r>
          <w:rPr>
            <w:webHidden/>
          </w:rPr>
        </w:r>
        <w:r>
          <w:rPr>
            <w:webHidden/>
          </w:rPr>
          <w:fldChar w:fldCharType="separate"/>
        </w:r>
        <w:r>
          <w:rPr>
            <w:webHidden/>
          </w:rPr>
          <w:t>3</w:t>
        </w:r>
        <w:r>
          <w:rPr>
            <w:webHidden/>
          </w:rPr>
          <w:fldChar w:fldCharType="end"/>
        </w:r>
      </w:hyperlink>
    </w:p>
    <w:p w14:paraId="6B9D3BDD" w14:textId="4EB35ACD" w:rsidR="00BB519A" w:rsidRDefault="00BB519A" w:rsidP="00BB519A">
      <w:pPr>
        <w:pStyle w:val="TOC3"/>
        <w:spacing w:line="360" w:lineRule="auto"/>
        <w:rPr>
          <w:rFonts w:asciiTheme="minorHAnsi" w:eastAsiaTheme="minorEastAsia" w:hAnsiTheme="minorHAnsi" w:cstheme="minorBidi"/>
          <w:kern w:val="2"/>
          <w:sz w:val="24"/>
          <w:szCs w:val="24"/>
          <w:lang w:val="en-US" w:eastAsia="en-US"/>
          <w14:ligatures w14:val="standardContextual"/>
        </w:rPr>
      </w:pPr>
      <w:hyperlink w:anchor="_Toc213084241" w:history="1">
        <w:r w:rsidRPr="00CD502E">
          <w:rPr>
            <w:rStyle w:val="Hyperlink"/>
          </w:rPr>
          <w:t>2.1.3</w:t>
        </w:r>
        <w:r>
          <w:rPr>
            <w:rFonts w:asciiTheme="minorHAnsi" w:eastAsiaTheme="minorEastAsia" w:hAnsiTheme="minorHAnsi" w:cstheme="minorBidi"/>
            <w:kern w:val="2"/>
            <w:sz w:val="24"/>
            <w:szCs w:val="24"/>
            <w:lang w:val="en-US" w:eastAsia="en-US"/>
            <w14:ligatures w14:val="standardContextual"/>
          </w:rPr>
          <w:tab/>
        </w:r>
        <w:r w:rsidRPr="00CD502E">
          <w:rPr>
            <w:rStyle w:val="Hyperlink"/>
          </w:rPr>
          <w:t>Firm References (5.2.1.2)</w:t>
        </w:r>
        <w:r>
          <w:rPr>
            <w:webHidden/>
          </w:rPr>
          <w:tab/>
        </w:r>
        <w:r>
          <w:rPr>
            <w:webHidden/>
          </w:rPr>
          <w:fldChar w:fldCharType="begin"/>
        </w:r>
        <w:r>
          <w:rPr>
            <w:webHidden/>
          </w:rPr>
          <w:instrText xml:space="preserve"> PAGEREF _Toc213084241 \h </w:instrText>
        </w:r>
        <w:r>
          <w:rPr>
            <w:webHidden/>
          </w:rPr>
        </w:r>
        <w:r>
          <w:rPr>
            <w:webHidden/>
          </w:rPr>
          <w:fldChar w:fldCharType="separate"/>
        </w:r>
        <w:r>
          <w:rPr>
            <w:webHidden/>
          </w:rPr>
          <w:t>9</w:t>
        </w:r>
        <w:r>
          <w:rPr>
            <w:webHidden/>
          </w:rPr>
          <w:fldChar w:fldCharType="end"/>
        </w:r>
      </w:hyperlink>
    </w:p>
    <w:p w14:paraId="0A0E6EB2" w14:textId="4C525D6E" w:rsidR="00BB519A" w:rsidRDefault="00BB519A" w:rsidP="00BB519A">
      <w:pPr>
        <w:pStyle w:val="TOC2"/>
        <w:spacing w:line="360" w:lineRule="auto"/>
        <w:rPr>
          <w:rFonts w:asciiTheme="minorHAnsi" w:eastAsiaTheme="minorEastAsia" w:hAnsiTheme="minorHAnsi" w:cstheme="minorBidi"/>
          <w:kern w:val="2"/>
          <w:sz w:val="24"/>
          <w:szCs w:val="24"/>
          <w:lang w:eastAsia="en-US"/>
          <w14:ligatures w14:val="standardContextual"/>
        </w:rPr>
      </w:pPr>
      <w:hyperlink w:anchor="_Toc213084242" w:history="1">
        <w:r w:rsidRPr="00CD502E">
          <w:rPr>
            <w:rStyle w:val="Hyperlink"/>
          </w:rPr>
          <w:t>2.2</w:t>
        </w:r>
        <w:r>
          <w:rPr>
            <w:rFonts w:asciiTheme="minorHAnsi" w:eastAsiaTheme="minorEastAsia" w:hAnsiTheme="minorHAnsi" w:cstheme="minorBidi"/>
            <w:kern w:val="2"/>
            <w:sz w:val="24"/>
            <w:szCs w:val="24"/>
            <w:lang w:eastAsia="en-US"/>
            <w14:ligatures w14:val="standardContextual"/>
          </w:rPr>
          <w:tab/>
        </w:r>
        <w:r w:rsidRPr="00CD502E">
          <w:rPr>
            <w:rStyle w:val="Hyperlink"/>
          </w:rPr>
          <w:t>Firm Financial Resources (5.2.1.3)</w:t>
        </w:r>
        <w:r>
          <w:rPr>
            <w:webHidden/>
          </w:rPr>
          <w:tab/>
        </w:r>
        <w:r>
          <w:rPr>
            <w:webHidden/>
          </w:rPr>
          <w:fldChar w:fldCharType="begin"/>
        </w:r>
        <w:r>
          <w:rPr>
            <w:webHidden/>
          </w:rPr>
          <w:instrText xml:space="preserve"> PAGEREF _Toc213084242 \h </w:instrText>
        </w:r>
        <w:r>
          <w:rPr>
            <w:webHidden/>
          </w:rPr>
        </w:r>
        <w:r>
          <w:rPr>
            <w:webHidden/>
          </w:rPr>
          <w:fldChar w:fldCharType="separate"/>
        </w:r>
        <w:r>
          <w:rPr>
            <w:webHidden/>
          </w:rPr>
          <w:t>9</w:t>
        </w:r>
        <w:r>
          <w:rPr>
            <w:webHidden/>
          </w:rPr>
          <w:fldChar w:fldCharType="end"/>
        </w:r>
      </w:hyperlink>
    </w:p>
    <w:p w14:paraId="66B95B3C" w14:textId="7120E979" w:rsidR="00BB519A" w:rsidRDefault="00BB519A" w:rsidP="00BB519A">
      <w:pPr>
        <w:pStyle w:val="TOC2"/>
        <w:spacing w:line="360" w:lineRule="auto"/>
        <w:rPr>
          <w:rFonts w:asciiTheme="minorHAnsi" w:eastAsiaTheme="minorEastAsia" w:hAnsiTheme="minorHAnsi" w:cstheme="minorBidi"/>
          <w:kern w:val="2"/>
          <w:sz w:val="24"/>
          <w:szCs w:val="24"/>
          <w:lang w:eastAsia="en-US"/>
          <w14:ligatures w14:val="standardContextual"/>
        </w:rPr>
      </w:pPr>
      <w:hyperlink w:anchor="_Toc213084243" w:history="1">
        <w:r w:rsidRPr="00CD502E">
          <w:rPr>
            <w:rStyle w:val="Hyperlink"/>
          </w:rPr>
          <w:t>2.3</w:t>
        </w:r>
        <w:r>
          <w:rPr>
            <w:rFonts w:asciiTheme="minorHAnsi" w:eastAsiaTheme="minorEastAsia" w:hAnsiTheme="minorHAnsi" w:cstheme="minorBidi"/>
            <w:kern w:val="2"/>
            <w:sz w:val="24"/>
            <w:szCs w:val="24"/>
            <w:lang w:eastAsia="en-US"/>
            <w14:ligatures w14:val="standardContextual"/>
          </w:rPr>
          <w:tab/>
        </w:r>
        <w:r w:rsidRPr="00CD502E">
          <w:rPr>
            <w:rStyle w:val="Hyperlink"/>
          </w:rPr>
          <w:t>Subcontractor Additional Details (6.3.3.4.3)</w:t>
        </w:r>
        <w:r>
          <w:rPr>
            <w:webHidden/>
          </w:rPr>
          <w:tab/>
        </w:r>
        <w:r>
          <w:rPr>
            <w:webHidden/>
          </w:rPr>
          <w:fldChar w:fldCharType="begin"/>
        </w:r>
        <w:r>
          <w:rPr>
            <w:webHidden/>
          </w:rPr>
          <w:instrText xml:space="preserve"> PAGEREF _Toc213084243 \h </w:instrText>
        </w:r>
        <w:r>
          <w:rPr>
            <w:webHidden/>
          </w:rPr>
        </w:r>
        <w:r>
          <w:rPr>
            <w:webHidden/>
          </w:rPr>
          <w:fldChar w:fldCharType="separate"/>
        </w:r>
        <w:r>
          <w:rPr>
            <w:webHidden/>
          </w:rPr>
          <w:t>11</w:t>
        </w:r>
        <w:r>
          <w:rPr>
            <w:webHidden/>
          </w:rPr>
          <w:fldChar w:fldCharType="end"/>
        </w:r>
      </w:hyperlink>
    </w:p>
    <w:p w14:paraId="6FEDEBF4" w14:textId="0989AA3C" w:rsidR="00BB519A" w:rsidRDefault="00BB519A" w:rsidP="00BB519A">
      <w:pPr>
        <w:pStyle w:val="TOC2"/>
        <w:spacing w:line="360" w:lineRule="auto"/>
        <w:rPr>
          <w:rFonts w:asciiTheme="minorHAnsi" w:eastAsiaTheme="minorEastAsia" w:hAnsiTheme="minorHAnsi" w:cstheme="minorBidi"/>
          <w:kern w:val="2"/>
          <w:sz w:val="24"/>
          <w:szCs w:val="24"/>
          <w:lang w:eastAsia="en-US"/>
          <w14:ligatures w14:val="standardContextual"/>
        </w:rPr>
      </w:pPr>
      <w:hyperlink w:anchor="_Toc213084244" w:history="1">
        <w:r w:rsidRPr="00CD502E">
          <w:rPr>
            <w:rStyle w:val="Hyperlink"/>
          </w:rPr>
          <w:t>Appendix A: IBM D&amp;B</w:t>
        </w:r>
        <w:r>
          <w:rPr>
            <w:webHidden/>
          </w:rPr>
          <w:tab/>
        </w:r>
        <w:r>
          <w:rPr>
            <w:webHidden/>
          </w:rPr>
          <w:fldChar w:fldCharType="begin"/>
        </w:r>
        <w:r>
          <w:rPr>
            <w:webHidden/>
          </w:rPr>
          <w:instrText xml:space="preserve"> PAGEREF _Toc213084244 \h </w:instrText>
        </w:r>
        <w:r>
          <w:rPr>
            <w:webHidden/>
          </w:rPr>
        </w:r>
        <w:r>
          <w:rPr>
            <w:webHidden/>
          </w:rPr>
          <w:fldChar w:fldCharType="separate"/>
        </w:r>
        <w:r>
          <w:rPr>
            <w:webHidden/>
          </w:rPr>
          <w:t>13</w:t>
        </w:r>
        <w:r>
          <w:rPr>
            <w:webHidden/>
          </w:rPr>
          <w:fldChar w:fldCharType="end"/>
        </w:r>
      </w:hyperlink>
    </w:p>
    <w:p w14:paraId="7428AD0A" w14:textId="1581E3B5" w:rsidR="00CB3659" w:rsidRDefault="00D41F62" w:rsidP="00A56FE9">
      <w:pPr>
        <w:pStyle w:val="CS-IBMResponseText"/>
      </w:pPr>
      <w:r>
        <w:rPr>
          <w:rFonts w:ascii="Arial Bold" w:hAnsi="Arial Bold"/>
          <w:noProof/>
          <w:color w:val="106288"/>
          <w:szCs w:val="24"/>
        </w:rPr>
        <w:fldChar w:fldCharType="end"/>
      </w:r>
    </w:p>
    <w:p w14:paraId="57834401" w14:textId="77777777" w:rsidR="008C133D" w:rsidRDefault="008C133D" w:rsidP="00A56FE9">
      <w:pPr>
        <w:pStyle w:val="CS-IBMResponseText"/>
      </w:pPr>
    </w:p>
    <w:p w14:paraId="61D4BF71" w14:textId="77777777" w:rsidR="008C133D" w:rsidRDefault="008C133D" w:rsidP="00A56FE9">
      <w:pPr>
        <w:pStyle w:val="CS-IBMResponseText"/>
      </w:pPr>
    </w:p>
    <w:p w14:paraId="39C12D2A" w14:textId="77777777" w:rsidR="000813AF" w:rsidRDefault="000813AF" w:rsidP="00A56FE9">
      <w:pPr>
        <w:pStyle w:val="CS-IBMResponseText"/>
      </w:pPr>
      <w:r>
        <w:br w:type="page"/>
      </w:r>
    </w:p>
    <w:p w14:paraId="42EE794D" w14:textId="77777777" w:rsidR="00CB3659" w:rsidRPr="006A4B60" w:rsidRDefault="00D23B44" w:rsidP="002D4739">
      <w:pPr>
        <w:pStyle w:val="CS-IBMTOCforTOCTitleonly"/>
        <w:rPr>
          <w:rFonts w:ascii="Century Gothic" w:hAnsi="Century Gothic"/>
        </w:rPr>
      </w:pPr>
      <w:r w:rsidRPr="006A4B60">
        <w:rPr>
          <w:rFonts w:ascii="Century Gothic" w:hAnsi="Century Gothic"/>
        </w:rPr>
        <w:lastRenderedPageBreak/>
        <w:t>Table of Figures</w:t>
      </w:r>
    </w:p>
    <w:p w14:paraId="28A66EAA" w14:textId="7102F579" w:rsidR="00980B1F" w:rsidRDefault="004B080D">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r w:rsidRPr="00E40CAC">
        <w:rPr>
          <w:rFonts w:ascii="IBM Plex Sans" w:hAnsi="IBM Plex Sans"/>
          <w:color w:val="595959"/>
          <w:sz w:val="20"/>
          <w:szCs w:val="20"/>
        </w:rPr>
        <w:fldChar w:fldCharType="begin"/>
      </w:r>
      <w:r w:rsidR="00CB3659" w:rsidRPr="00FE53F5">
        <w:rPr>
          <w:color w:val="595959"/>
          <w:szCs w:val="20"/>
        </w:rPr>
        <w:instrText xml:space="preserve"> TOC \h \z \c "Figure" </w:instrText>
      </w:r>
      <w:r w:rsidRPr="00E40CAC">
        <w:rPr>
          <w:rFonts w:ascii="IBM Plex Sans" w:hAnsi="IBM Plex Sans"/>
          <w:color w:val="595959"/>
          <w:sz w:val="20"/>
          <w:szCs w:val="20"/>
        </w:rPr>
        <w:fldChar w:fldCharType="separate"/>
      </w:r>
      <w:hyperlink w:anchor="_Toc213061791" w:history="1">
        <w:r w:rsidR="00980B1F" w:rsidRPr="00BA4D59">
          <w:rPr>
            <w:rStyle w:val="Hyperlink"/>
            <w:noProof/>
          </w:rPr>
          <w:t>Figure 1 Organizational Chart of IBM</w:t>
        </w:r>
        <w:r w:rsidR="00980B1F">
          <w:rPr>
            <w:noProof/>
            <w:webHidden/>
          </w:rPr>
          <w:tab/>
        </w:r>
        <w:r w:rsidR="00980B1F">
          <w:rPr>
            <w:noProof/>
            <w:webHidden/>
          </w:rPr>
          <w:fldChar w:fldCharType="begin"/>
        </w:r>
        <w:r w:rsidR="00980B1F">
          <w:rPr>
            <w:noProof/>
            <w:webHidden/>
          </w:rPr>
          <w:instrText xml:space="preserve"> PAGEREF _Toc213061791 \h </w:instrText>
        </w:r>
        <w:r w:rsidR="00980B1F">
          <w:rPr>
            <w:noProof/>
            <w:webHidden/>
          </w:rPr>
        </w:r>
        <w:r w:rsidR="00980B1F">
          <w:rPr>
            <w:noProof/>
            <w:webHidden/>
          </w:rPr>
          <w:fldChar w:fldCharType="separate"/>
        </w:r>
        <w:r w:rsidR="00980B1F">
          <w:rPr>
            <w:noProof/>
            <w:webHidden/>
          </w:rPr>
          <w:t>6</w:t>
        </w:r>
        <w:r w:rsidR="00980B1F">
          <w:rPr>
            <w:noProof/>
            <w:webHidden/>
          </w:rPr>
          <w:fldChar w:fldCharType="end"/>
        </w:r>
      </w:hyperlink>
    </w:p>
    <w:p w14:paraId="13F02902" w14:textId="4928F313" w:rsidR="00980B1F" w:rsidRDefault="00980B1F">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1792" w:history="1">
        <w:r w:rsidRPr="00BA4D59">
          <w:rPr>
            <w:rStyle w:val="Hyperlink"/>
            <w:noProof/>
          </w:rPr>
          <w:t>Figure 2 IBM Consulting Services Organization - June 1, 2025</w:t>
        </w:r>
        <w:r>
          <w:rPr>
            <w:noProof/>
            <w:webHidden/>
          </w:rPr>
          <w:tab/>
        </w:r>
        <w:r>
          <w:rPr>
            <w:noProof/>
            <w:webHidden/>
          </w:rPr>
          <w:fldChar w:fldCharType="begin"/>
        </w:r>
        <w:r>
          <w:rPr>
            <w:noProof/>
            <w:webHidden/>
          </w:rPr>
          <w:instrText xml:space="preserve"> PAGEREF _Toc213061792 \h </w:instrText>
        </w:r>
        <w:r>
          <w:rPr>
            <w:noProof/>
            <w:webHidden/>
          </w:rPr>
        </w:r>
        <w:r>
          <w:rPr>
            <w:noProof/>
            <w:webHidden/>
          </w:rPr>
          <w:fldChar w:fldCharType="separate"/>
        </w:r>
        <w:r>
          <w:rPr>
            <w:noProof/>
            <w:webHidden/>
          </w:rPr>
          <w:t>8</w:t>
        </w:r>
        <w:r>
          <w:rPr>
            <w:noProof/>
            <w:webHidden/>
          </w:rPr>
          <w:fldChar w:fldCharType="end"/>
        </w:r>
      </w:hyperlink>
    </w:p>
    <w:p w14:paraId="7F61DC82" w14:textId="3C0234C7" w:rsidR="00980B1F" w:rsidRDefault="00980B1F">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1793" w:history="1">
        <w:r w:rsidRPr="00BA4D59">
          <w:rPr>
            <w:rStyle w:val="Hyperlink"/>
            <w:noProof/>
          </w:rPr>
          <w:t>Figure 3 Quality Assurance and Test Team at IBM</w:t>
        </w:r>
        <w:r>
          <w:rPr>
            <w:noProof/>
            <w:webHidden/>
          </w:rPr>
          <w:tab/>
        </w:r>
        <w:r>
          <w:rPr>
            <w:noProof/>
            <w:webHidden/>
          </w:rPr>
          <w:fldChar w:fldCharType="begin"/>
        </w:r>
        <w:r>
          <w:rPr>
            <w:noProof/>
            <w:webHidden/>
          </w:rPr>
          <w:instrText xml:space="preserve"> PAGEREF _Toc213061793 \h </w:instrText>
        </w:r>
        <w:r>
          <w:rPr>
            <w:noProof/>
            <w:webHidden/>
          </w:rPr>
        </w:r>
        <w:r>
          <w:rPr>
            <w:noProof/>
            <w:webHidden/>
          </w:rPr>
          <w:fldChar w:fldCharType="separate"/>
        </w:r>
        <w:r>
          <w:rPr>
            <w:noProof/>
            <w:webHidden/>
          </w:rPr>
          <w:t>9</w:t>
        </w:r>
        <w:r>
          <w:rPr>
            <w:noProof/>
            <w:webHidden/>
          </w:rPr>
          <w:fldChar w:fldCharType="end"/>
        </w:r>
      </w:hyperlink>
    </w:p>
    <w:p w14:paraId="3EE02D1D" w14:textId="68555C90" w:rsidR="00D53C92" w:rsidRDefault="004B080D" w:rsidP="00D53C92">
      <w:pPr>
        <w:spacing w:before="0" w:after="0"/>
      </w:pPr>
      <w:r w:rsidRPr="00E40CAC">
        <w:fldChar w:fldCharType="end"/>
      </w:r>
    </w:p>
    <w:p w14:paraId="392F787E" w14:textId="77777777" w:rsidR="00E6341D" w:rsidRDefault="00E6341D" w:rsidP="00A56FE9">
      <w:pPr>
        <w:pStyle w:val="CS-IBMResponseText"/>
      </w:pPr>
    </w:p>
    <w:p w14:paraId="6D2E5422" w14:textId="77777777" w:rsidR="00DF33F9" w:rsidRPr="006A4B60" w:rsidRDefault="00DF33F9" w:rsidP="002D4739">
      <w:pPr>
        <w:pStyle w:val="CS-IBMTOCforTOCTitleonly"/>
        <w:rPr>
          <w:rFonts w:ascii="Century Gothic" w:hAnsi="Century Gothic"/>
        </w:rPr>
      </w:pPr>
      <w:r w:rsidRPr="006A4B60">
        <w:rPr>
          <w:rFonts w:ascii="Century Gothic" w:hAnsi="Century Gothic"/>
        </w:rPr>
        <w:t>Table of Tables</w:t>
      </w:r>
    </w:p>
    <w:p w14:paraId="20415EF2" w14:textId="1AB93788" w:rsidR="00020495" w:rsidRDefault="00DF33F9">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r>
        <w:rPr>
          <w:rFonts w:ascii="IBM Plex Sans" w:hAnsi="IBM Plex Sans"/>
          <w:color w:val="203864"/>
          <w:sz w:val="20"/>
        </w:rPr>
        <w:fldChar w:fldCharType="begin"/>
      </w:r>
      <w:r>
        <w:instrText xml:space="preserve"> TOC \h \z \c "Table" </w:instrText>
      </w:r>
      <w:r>
        <w:rPr>
          <w:rFonts w:ascii="IBM Plex Sans" w:hAnsi="IBM Plex Sans"/>
          <w:color w:val="203864"/>
          <w:sz w:val="20"/>
        </w:rPr>
        <w:fldChar w:fldCharType="separate"/>
      </w:r>
      <w:hyperlink w:anchor="_Toc213061872" w:history="1">
        <w:r w:rsidR="00020495" w:rsidRPr="00527914">
          <w:rPr>
            <w:rStyle w:val="Hyperlink"/>
            <w:noProof/>
          </w:rPr>
          <w:t>Table 1 Subcontractor Work by SFY</w:t>
        </w:r>
        <w:r w:rsidR="00020495">
          <w:rPr>
            <w:noProof/>
            <w:webHidden/>
          </w:rPr>
          <w:tab/>
        </w:r>
        <w:r w:rsidR="00020495">
          <w:rPr>
            <w:noProof/>
            <w:webHidden/>
          </w:rPr>
          <w:fldChar w:fldCharType="begin"/>
        </w:r>
        <w:r w:rsidR="00020495">
          <w:rPr>
            <w:noProof/>
            <w:webHidden/>
          </w:rPr>
          <w:instrText xml:space="preserve"> PAGEREF _Toc213061872 \h </w:instrText>
        </w:r>
        <w:r w:rsidR="00020495">
          <w:rPr>
            <w:noProof/>
            <w:webHidden/>
          </w:rPr>
        </w:r>
        <w:r w:rsidR="00020495">
          <w:rPr>
            <w:noProof/>
            <w:webHidden/>
          </w:rPr>
          <w:fldChar w:fldCharType="separate"/>
        </w:r>
        <w:r w:rsidR="00020495">
          <w:rPr>
            <w:noProof/>
            <w:webHidden/>
          </w:rPr>
          <w:t>12</w:t>
        </w:r>
        <w:r w:rsidR="00020495">
          <w:rPr>
            <w:noProof/>
            <w:webHidden/>
          </w:rPr>
          <w:fldChar w:fldCharType="end"/>
        </w:r>
      </w:hyperlink>
    </w:p>
    <w:p w14:paraId="2674CDE7" w14:textId="06E43EBD" w:rsidR="00B7431A" w:rsidRDefault="00DF33F9" w:rsidP="00C25E9E">
      <w:r>
        <w:fldChar w:fldCharType="end"/>
      </w:r>
    </w:p>
    <w:p w14:paraId="6A0BDB2D" w14:textId="77777777" w:rsidR="00E6341D" w:rsidRPr="00E6341D" w:rsidRDefault="00E6341D" w:rsidP="00E6341D"/>
    <w:p w14:paraId="63E43964" w14:textId="77777777" w:rsidR="00E6341D" w:rsidRDefault="00E6341D" w:rsidP="00E6341D"/>
    <w:p w14:paraId="457AAEAF" w14:textId="77777777" w:rsidR="00D85D89" w:rsidRDefault="00D85D89" w:rsidP="00E6341D"/>
    <w:p w14:paraId="363FA0D0" w14:textId="77777777" w:rsidR="008C133D" w:rsidRDefault="008C133D" w:rsidP="00A56FE9">
      <w:pPr>
        <w:pStyle w:val="CS-IBMResponseText"/>
      </w:pPr>
    </w:p>
    <w:p w14:paraId="42090B8D" w14:textId="77777777" w:rsidR="008C133D" w:rsidRDefault="008C133D" w:rsidP="00A56FE9">
      <w:pPr>
        <w:pStyle w:val="CS-IBMResponseText"/>
      </w:pPr>
    </w:p>
    <w:p w14:paraId="700CFEB4" w14:textId="77777777" w:rsidR="008C133D" w:rsidRDefault="008C133D" w:rsidP="00A56FE9">
      <w:pPr>
        <w:pStyle w:val="CS-IBMResponseText"/>
      </w:pPr>
    </w:p>
    <w:p w14:paraId="3D944177" w14:textId="77777777" w:rsidR="008C133D" w:rsidRDefault="008C133D" w:rsidP="00A56FE9">
      <w:pPr>
        <w:pStyle w:val="CS-IBMResponseText"/>
      </w:pPr>
    </w:p>
    <w:p w14:paraId="7BA058A7" w14:textId="77777777" w:rsidR="008C133D" w:rsidRDefault="008C133D" w:rsidP="00A56FE9">
      <w:pPr>
        <w:pStyle w:val="CS-IBMResponseText"/>
      </w:pPr>
    </w:p>
    <w:p w14:paraId="51760A7C" w14:textId="77777777" w:rsidR="008C133D" w:rsidRPr="00E6341D" w:rsidRDefault="008C133D" w:rsidP="00A56FE9">
      <w:pPr>
        <w:pStyle w:val="CS-IBMResponseText"/>
      </w:pPr>
    </w:p>
    <w:p w14:paraId="387D0ECA" w14:textId="77777777" w:rsidR="00E6341D" w:rsidRDefault="00E6341D" w:rsidP="00E6341D"/>
    <w:p w14:paraId="30AD29C2" w14:textId="77777777" w:rsidR="00405EF5" w:rsidRDefault="00405EF5" w:rsidP="00A56FE9">
      <w:pPr>
        <w:pStyle w:val="CS-IBMResponseText"/>
      </w:pPr>
      <w:bookmarkStart w:id="0" w:name="_Toc350169568"/>
    </w:p>
    <w:p w14:paraId="7E27D12A" w14:textId="77777777" w:rsidR="00405EF5" w:rsidRDefault="00405EF5" w:rsidP="00A56FE9">
      <w:pPr>
        <w:pStyle w:val="CS-IBMResponseText"/>
      </w:pPr>
    </w:p>
    <w:p w14:paraId="5890225B" w14:textId="77777777" w:rsidR="00405EF5" w:rsidRDefault="00405EF5" w:rsidP="00A56FE9">
      <w:pPr>
        <w:pStyle w:val="CS-IBMResponseText"/>
      </w:pPr>
    </w:p>
    <w:p w14:paraId="2C82DEB1" w14:textId="77777777" w:rsidR="00405EF5" w:rsidRDefault="00405EF5" w:rsidP="00A56FE9">
      <w:pPr>
        <w:pStyle w:val="CS-IBMResponseText"/>
        <w:sectPr w:rsidR="00405EF5" w:rsidSect="008E7D11">
          <w:headerReference w:type="default" r:id="rId8"/>
          <w:footerReference w:type="default" r:id="rId9"/>
          <w:pgSz w:w="12240" w:h="15840" w:code="1"/>
          <w:pgMar w:top="1323" w:right="1440" w:bottom="1197" w:left="1440" w:header="504" w:footer="423" w:gutter="0"/>
          <w:pgNumType w:fmt="lowerRoman" w:start="1"/>
          <w:cols w:space="708"/>
          <w:docGrid w:linePitch="360"/>
        </w:sectPr>
      </w:pPr>
    </w:p>
    <w:p w14:paraId="33A5F9C7" w14:textId="60E6F525" w:rsidR="00DC37F6" w:rsidRDefault="008915BA" w:rsidP="00E14247">
      <w:pPr>
        <w:pStyle w:val="Heading1"/>
      </w:pPr>
      <w:bookmarkStart w:id="1" w:name="_Toc213084237"/>
      <w:bookmarkEnd w:id="0"/>
      <w:r>
        <w:lastRenderedPageBreak/>
        <w:t xml:space="preserve">2 - </w:t>
      </w:r>
      <w:r w:rsidR="005178C1" w:rsidRPr="005178C1">
        <w:t>Firm Qualifications</w:t>
      </w:r>
      <w:bookmarkEnd w:id="1"/>
    </w:p>
    <w:p w14:paraId="3B6663EC" w14:textId="77777777" w:rsidR="00AB0D6B" w:rsidRPr="00AB0D6B" w:rsidRDefault="00AB0D6B" w:rsidP="00AB0D6B">
      <w:pPr>
        <w:pStyle w:val="CS-RFPBodyText"/>
      </w:pPr>
      <w:r w:rsidRPr="00AB0D6B">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5.2.1 – Firm Qualifications.</w:t>
      </w:r>
    </w:p>
    <w:p w14:paraId="438EBF40" w14:textId="1D081ECB" w:rsidR="00AB0D6B" w:rsidRPr="00AB0D6B" w:rsidRDefault="00AB0D6B" w:rsidP="005C5A50">
      <w:pPr>
        <w:pStyle w:val="Heading2"/>
      </w:pPr>
      <w:bookmarkStart w:id="2" w:name="_Toc213084238"/>
      <w:r w:rsidRPr="00AB0D6B">
        <w:t>Firm Experience Details</w:t>
      </w:r>
      <w:bookmarkEnd w:id="2"/>
    </w:p>
    <w:p w14:paraId="6CF98919" w14:textId="77777777" w:rsidR="004E1BD0" w:rsidRDefault="00AB1D7B" w:rsidP="00AB0D6B">
      <w:pPr>
        <w:pStyle w:val="CS-RFPBodyText"/>
        <w:rPr>
          <w:color w:val="auto"/>
        </w:rPr>
      </w:pPr>
      <w:r w:rsidRPr="00B22D75">
        <w:rPr>
          <w:color w:val="auto"/>
        </w:rPr>
        <w:t xml:space="preserve">IBM has provided our mandatory </w:t>
      </w:r>
      <w:r w:rsidR="00AB0D6B" w:rsidRPr="00B22D75">
        <w:rPr>
          <w:color w:val="auto"/>
        </w:rPr>
        <w:t xml:space="preserve">firm experience relevant to the proposed QA Services </w:t>
      </w:r>
      <w:r w:rsidR="0097644E">
        <w:rPr>
          <w:color w:val="auto"/>
        </w:rPr>
        <w:t xml:space="preserve">using the Attachment 8 as </w:t>
      </w:r>
      <w:r w:rsidR="00735BED">
        <w:rPr>
          <w:color w:val="auto"/>
        </w:rPr>
        <w:t xml:space="preserve">requested, separately attached </w:t>
      </w:r>
      <w:r w:rsidR="0097644E">
        <w:rPr>
          <w:color w:val="auto"/>
        </w:rPr>
        <w:t xml:space="preserve">as </w:t>
      </w:r>
      <w:r w:rsidR="009E2CB4" w:rsidRPr="00B22D75">
        <w:rPr>
          <w:color w:val="auto"/>
        </w:rPr>
        <w:t>Excel</w:t>
      </w:r>
      <w:r w:rsidR="0086458A" w:rsidRPr="00B22D75">
        <w:rPr>
          <w:color w:val="auto"/>
        </w:rPr>
        <w:t xml:space="preserve"> </w:t>
      </w:r>
      <w:r w:rsidR="00735BED">
        <w:rPr>
          <w:color w:val="auto"/>
        </w:rPr>
        <w:t xml:space="preserve">file </w:t>
      </w:r>
      <w:r w:rsidR="0086458A" w:rsidRPr="00B22D75">
        <w:rPr>
          <w:color w:val="auto"/>
        </w:rPr>
        <w:t>titled</w:t>
      </w:r>
      <w:r w:rsidR="004E1BD0">
        <w:rPr>
          <w:color w:val="auto"/>
        </w:rPr>
        <w:t>:</w:t>
      </w:r>
    </w:p>
    <w:p w14:paraId="4FECC925" w14:textId="77777777" w:rsidR="004E1BD0" w:rsidRDefault="00A95CBD" w:rsidP="004E1BD0">
      <w:pPr>
        <w:pStyle w:val="CS-RFPBodyText"/>
        <w:numPr>
          <w:ilvl w:val="0"/>
          <w:numId w:val="33"/>
        </w:numPr>
        <w:rPr>
          <w:color w:val="auto"/>
        </w:rPr>
      </w:pPr>
      <w:r w:rsidRPr="00B22D75">
        <w:rPr>
          <w:i/>
          <w:iCs/>
          <w:color w:val="auto"/>
          <w:u w:val="single"/>
        </w:rPr>
        <w:t>9. Vol 1 Sect 5 Att 8 Firm Mandatory Qualification</w:t>
      </w:r>
      <w:r w:rsidRPr="00B22D75">
        <w:rPr>
          <w:color w:val="auto"/>
          <w:u w:val="single"/>
        </w:rPr>
        <w:t>s</w:t>
      </w:r>
      <w:r w:rsidRPr="00B22D75">
        <w:rPr>
          <w:i/>
          <w:iCs/>
          <w:color w:val="auto"/>
          <w:u w:val="single"/>
        </w:rPr>
        <w:t>–</w:t>
      </w:r>
      <w:r w:rsidR="0086458A" w:rsidRPr="00B22D75">
        <w:rPr>
          <w:i/>
          <w:iCs/>
          <w:color w:val="auto"/>
          <w:u w:val="single"/>
        </w:rPr>
        <w:t>IBM.xlsx</w:t>
      </w:r>
      <w:r w:rsidR="00AB0D6B" w:rsidRPr="00B22D75">
        <w:rPr>
          <w:color w:val="auto"/>
        </w:rPr>
        <w:t xml:space="preserve">. </w:t>
      </w:r>
    </w:p>
    <w:p w14:paraId="5E6E9BD9" w14:textId="41680DF8" w:rsidR="004E1BD0" w:rsidRDefault="00097531" w:rsidP="00AB0D6B">
      <w:pPr>
        <w:pStyle w:val="CS-RFPBodyText"/>
        <w:rPr>
          <w:color w:val="auto"/>
        </w:rPr>
      </w:pPr>
      <w:r>
        <w:rPr>
          <w:color w:val="auto"/>
        </w:rPr>
        <w:t>IBM has also provided 2 references using the Attach</w:t>
      </w:r>
      <w:r w:rsidR="00A50001">
        <w:rPr>
          <w:color w:val="auto"/>
        </w:rPr>
        <w:t>ment 9 – Firm References form, separately attached as PDF file titled</w:t>
      </w:r>
      <w:r w:rsidR="004E1BD0">
        <w:rPr>
          <w:color w:val="auto"/>
        </w:rPr>
        <w:t>:</w:t>
      </w:r>
    </w:p>
    <w:p w14:paraId="65F396DA" w14:textId="77777777" w:rsidR="004E1BD0" w:rsidRDefault="004E1BD0" w:rsidP="004E1BD0">
      <w:pPr>
        <w:pStyle w:val="CS-RFPBodyText"/>
        <w:numPr>
          <w:ilvl w:val="0"/>
          <w:numId w:val="32"/>
        </w:numPr>
        <w:rPr>
          <w:i/>
          <w:iCs/>
          <w:color w:val="auto"/>
          <w:u w:val="single"/>
        </w:rPr>
      </w:pPr>
      <w:r w:rsidRPr="004E1BD0">
        <w:rPr>
          <w:i/>
          <w:iCs/>
          <w:color w:val="auto"/>
          <w:u w:val="single"/>
        </w:rPr>
        <w:t>10.1. Vol 1 Sect 5 Att 9-Firm References (CA CAMMIS) - IBM.pdf</w:t>
      </w:r>
    </w:p>
    <w:p w14:paraId="2908B9D9" w14:textId="6773F10E" w:rsidR="004E1BD0" w:rsidRDefault="004E1BD0" w:rsidP="004E1BD0">
      <w:pPr>
        <w:pStyle w:val="CS-RFPBodyText"/>
        <w:numPr>
          <w:ilvl w:val="0"/>
          <w:numId w:val="32"/>
        </w:numPr>
        <w:rPr>
          <w:i/>
          <w:iCs/>
          <w:color w:val="auto"/>
          <w:u w:val="single"/>
        </w:rPr>
      </w:pPr>
      <w:r w:rsidRPr="004E1BD0">
        <w:rPr>
          <w:i/>
          <w:iCs/>
          <w:color w:val="auto"/>
          <w:u w:val="single"/>
        </w:rPr>
        <w:t>10.2. Vol 1 Sect 5 Att 9-Firm References (FL DCF) - IBM.pdf</w:t>
      </w:r>
    </w:p>
    <w:p w14:paraId="564BDE0E" w14:textId="6101F8D5" w:rsidR="00AB0D6B" w:rsidRPr="00B22D75" w:rsidRDefault="004E1BD0" w:rsidP="00AB0D6B">
      <w:pPr>
        <w:pStyle w:val="CS-RFPBodyText"/>
        <w:rPr>
          <w:color w:val="auto"/>
        </w:rPr>
      </w:pPr>
      <w:r>
        <w:rPr>
          <w:color w:val="auto"/>
        </w:rPr>
        <w:t>I</w:t>
      </w:r>
      <w:r w:rsidR="00536B32" w:rsidRPr="00B22D75">
        <w:rPr>
          <w:color w:val="auto"/>
        </w:rPr>
        <w:t xml:space="preserve">n the </w:t>
      </w:r>
      <w:r w:rsidR="003D760E">
        <w:rPr>
          <w:color w:val="auto"/>
        </w:rPr>
        <w:t xml:space="preserve">following </w:t>
      </w:r>
      <w:r w:rsidR="00536B32" w:rsidRPr="00B22D75">
        <w:rPr>
          <w:color w:val="auto"/>
        </w:rPr>
        <w:t>section</w:t>
      </w:r>
      <w:r w:rsidR="003D760E">
        <w:rPr>
          <w:color w:val="auto"/>
        </w:rPr>
        <w:t>s</w:t>
      </w:r>
      <w:r w:rsidR="00536B32" w:rsidRPr="00B22D75">
        <w:rPr>
          <w:color w:val="auto"/>
        </w:rPr>
        <w:t>, we have also provided a</w:t>
      </w:r>
      <w:r w:rsidR="00AB0D6B" w:rsidRPr="00B22D75">
        <w:rPr>
          <w:color w:val="auto"/>
        </w:rPr>
        <w:t xml:space="preserve"> concise but thorough description of</w:t>
      </w:r>
      <w:r w:rsidR="00536B32" w:rsidRPr="00B22D75">
        <w:rPr>
          <w:color w:val="auto"/>
        </w:rPr>
        <w:t xml:space="preserve"> desired</w:t>
      </w:r>
      <w:r w:rsidR="00AB0D6B" w:rsidRPr="00B22D75">
        <w:rPr>
          <w:color w:val="auto"/>
        </w:rPr>
        <w:t xml:space="preserve"> relevant experience.</w:t>
      </w:r>
    </w:p>
    <w:p w14:paraId="2F55CEC1" w14:textId="36F063F4" w:rsidR="73BB7ED9" w:rsidRDefault="73BB7ED9" w:rsidP="73BB7ED9">
      <w:pPr>
        <w:pStyle w:val="CS-IBMResponseText"/>
      </w:pPr>
      <w:r>
        <w:t xml:space="preserve">IBM is highly qualified and meets the </w:t>
      </w:r>
      <w:proofErr w:type="gramStart"/>
      <w:r>
        <w:t>firm</w:t>
      </w:r>
      <w:proofErr w:type="gramEnd"/>
      <w:r>
        <w:t xml:space="preserve"> qualifications for the CalSAWS QA Services opportunity. The following lists the firm qualifications, firm references, and firm financial qualifications, which include the subcontractor, Speridian Technologies, LLC firm qualifications who is providing at least 20% of the annual price during the base contract period as listed in the Request for Proposal (RFP) Quality Assurance RFP #01-2025</w:t>
      </w:r>
      <w:r w:rsidR="005B1512">
        <w:t>.</w:t>
      </w:r>
    </w:p>
    <w:p w14:paraId="506DEA88" w14:textId="542558CC" w:rsidR="73BB7ED9" w:rsidRPr="00871C19" w:rsidRDefault="73BB7ED9" w:rsidP="002B7316">
      <w:pPr>
        <w:pStyle w:val="Heading3"/>
      </w:pPr>
      <w:bookmarkStart w:id="3" w:name="_Toc213084239"/>
      <w:r w:rsidRPr="00871C19">
        <w:t>Firm Mandatory Qualification</w:t>
      </w:r>
      <w:r w:rsidR="00AC686C">
        <w:t>s</w:t>
      </w:r>
      <w:r w:rsidR="00932E79" w:rsidRPr="00871C19">
        <w:t xml:space="preserve"> (5.2.1)</w:t>
      </w:r>
      <w:bookmarkEnd w:id="3"/>
    </w:p>
    <w:p w14:paraId="3D5B3939" w14:textId="77777777" w:rsidR="73BB7ED9" w:rsidRPr="003A7690" w:rsidRDefault="73BB7ED9" w:rsidP="73BB7ED9">
      <w:pPr>
        <w:pStyle w:val="CS-IBMResponseText"/>
        <w:rPr>
          <w:b/>
          <w:color w:val="0070C0"/>
        </w:rPr>
      </w:pPr>
      <w:r w:rsidRPr="003A7690">
        <w:rPr>
          <w:b/>
          <w:color w:val="0070C0"/>
        </w:rPr>
        <w:t>F1: At least three (3) years of Prime Contractor experience performing Quality Assurance services in the Health and Human Services arena. Experience must have been completed or ongoing within the last seven (7) years.</w:t>
      </w:r>
    </w:p>
    <w:p w14:paraId="22C41C11" w14:textId="77777777" w:rsidR="73BB7ED9" w:rsidRDefault="73BB7ED9" w:rsidP="73BB7ED9">
      <w:pPr>
        <w:pStyle w:val="CS-IBMResponseText"/>
      </w:pPr>
      <w:r>
        <w:t>IBM meets the qualifications of at least three (3) years of Prime Contractor experience performing Quality Assurance Services in the Health and Human Services arena. The experience has been completed and is ongoing within the last seven (7) years. This includes:</w:t>
      </w:r>
    </w:p>
    <w:p w14:paraId="525D875C" w14:textId="4C1932FF" w:rsidR="73BB7ED9" w:rsidRDefault="73BB7ED9" w:rsidP="73BB7ED9">
      <w:pPr>
        <w:pStyle w:val="CS-IBMBullet1"/>
      </w:pPr>
      <w:r w:rsidRPr="73BB7ED9">
        <w:rPr>
          <w:b/>
          <w:bCs/>
        </w:rPr>
        <w:t xml:space="preserve">California Medicaid Management Information System (CA-MMIS): </w:t>
      </w:r>
      <w:r w:rsidR="002B5511">
        <w:t xml:space="preserve">As </w:t>
      </w:r>
      <w:r w:rsidR="007F42C3">
        <w:t xml:space="preserve">overall </w:t>
      </w:r>
      <w:r w:rsidR="002B5511">
        <w:t>Prime contractor since</w:t>
      </w:r>
      <w:r>
        <w:t xml:space="preserve"> 2018, and currently ongoing, IBM has been performing QA Services </w:t>
      </w:r>
      <w:r w:rsidR="00F421D3">
        <w:t xml:space="preserve">specifically since 2020 </w:t>
      </w:r>
      <w:r>
        <w:t>at CA-MMIS. This includes QA Services around functional, integration, and performance evaluations, infrastructure management services such as capacity planning, system monitoring, security, and privacy safeguards.</w:t>
      </w:r>
    </w:p>
    <w:p w14:paraId="297B804A" w14:textId="77777777" w:rsidR="73BB7ED9" w:rsidRDefault="73BB7ED9" w:rsidP="73BB7ED9">
      <w:pPr>
        <w:pStyle w:val="CS-IBMResponseText"/>
        <w:ind w:left="357"/>
      </w:pPr>
      <w:r>
        <w:t>The CA-MMIS reference contact is below:</w:t>
      </w:r>
    </w:p>
    <w:p w14:paraId="0DF1A8A7" w14:textId="347BBB22" w:rsidR="73BB7ED9" w:rsidRDefault="73BB7ED9" w:rsidP="73BB7ED9">
      <w:pPr>
        <w:pStyle w:val="CS-IBMBullet2"/>
      </w:pPr>
      <w:r w:rsidRPr="73BB7ED9">
        <w:rPr>
          <w:b/>
          <w:bCs/>
        </w:rPr>
        <w:t>Contact:</w:t>
      </w:r>
      <w:r>
        <w:t xml:space="preserve"> Doug Vincent, Chief, Vendor Management Section Branch</w:t>
      </w:r>
    </w:p>
    <w:p w14:paraId="74849A72" w14:textId="29DD12F6" w:rsidR="73BB7ED9" w:rsidRDefault="73BB7ED9" w:rsidP="73BB7ED9">
      <w:pPr>
        <w:pStyle w:val="CS-IBMBullet2"/>
      </w:pPr>
      <w:r w:rsidRPr="73BB7ED9">
        <w:rPr>
          <w:b/>
          <w:bCs/>
        </w:rPr>
        <w:t xml:space="preserve">Organization: </w:t>
      </w:r>
      <w:r>
        <w:t>California Medicaid Management Information System (CA-MMIS)</w:t>
      </w:r>
    </w:p>
    <w:p w14:paraId="10141CD4" w14:textId="5FD523CE" w:rsidR="73BB7ED9" w:rsidRDefault="73BB7ED9" w:rsidP="73BB7ED9">
      <w:pPr>
        <w:pStyle w:val="CS-IBMBullet2"/>
      </w:pPr>
      <w:r w:rsidRPr="73BB7ED9">
        <w:rPr>
          <w:b/>
          <w:bCs/>
        </w:rPr>
        <w:t>Address:</w:t>
      </w:r>
      <w:r>
        <w:t xml:space="preserve"> 830 Stillwater Road, West Sacramento, CA 95605</w:t>
      </w:r>
    </w:p>
    <w:p w14:paraId="00226C9A" w14:textId="2EBE838E" w:rsidR="73BB7ED9" w:rsidRDefault="73BB7ED9" w:rsidP="73BB7ED9">
      <w:pPr>
        <w:pStyle w:val="CS-IBMBullet2"/>
      </w:pPr>
      <w:r w:rsidRPr="73BB7ED9">
        <w:rPr>
          <w:b/>
          <w:bCs/>
        </w:rPr>
        <w:lastRenderedPageBreak/>
        <w:t>Phone:</w:t>
      </w:r>
      <w:r>
        <w:t xml:space="preserve"> (916) 208-5265</w:t>
      </w:r>
    </w:p>
    <w:p w14:paraId="45BB44ED" w14:textId="5B61ABB9" w:rsidR="73BB7ED9" w:rsidRDefault="73BB7ED9" w:rsidP="73BB7ED9">
      <w:pPr>
        <w:pStyle w:val="CS-IBMBullet2"/>
      </w:pPr>
      <w:r w:rsidRPr="73BB7ED9">
        <w:rPr>
          <w:b/>
          <w:bCs/>
        </w:rPr>
        <w:t>Email:</w:t>
      </w:r>
      <w:r>
        <w:t xml:space="preserve"> </w:t>
      </w:r>
      <w:hyperlink r:id="rId10">
        <w:r w:rsidRPr="73BB7ED9">
          <w:rPr>
            <w:rStyle w:val="Hyperlink"/>
          </w:rPr>
          <w:t>Doug.Vincent@dhcs.ca.gov</w:t>
        </w:r>
      </w:hyperlink>
    </w:p>
    <w:p w14:paraId="7AAAD454" w14:textId="439F777F" w:rsidR="73BB7ED9" w:rsidRDefault="73BB7ED9" w:rsidP="73BB7ED9">
      <w:pPr>
        <w:pStyle w:val="CS-IBMBullet1"/>
      </w:pPr>
      <w:r w:rsidRPr="73BB7ED9">
        <w:rPr>
          <w:b/>
          <w:bCs/>
        </w:rPr>
        <w:t>State of Florida, Department of Children and Families (DCF):</w:t>
      </w:r>
      <w:r>
        <w:t xml:space="preserve"> At the State of Florida, DCF, IBM has been providing QA Services for the Florida DCF since 2012 to present. QA Services have included but not limited to the following:</w:t>
      </w:r>
    </w:p>
    <w:p w14:paraId="355724BF" w14:textId="1FC228C2" w:rsidR="73BB7ED9" w:rsidRDefault="73BB7ED9" w:rsidP="73BB7ED9">
      <w:pPr>
        <w:pStyle w:val="CS-IBMBullet2"/>
      </w:pPr>
      <w:r>
        <w:t xml:space="preserve">Introducing a common testing framework and governance cadence, improving release coordination across all stakeholders. </w:t>
      </w:r>
    </w:p>
    <w:p w14:paraId="459C8556" w14:textId="4C3EF3AF" w:rsidR="73BB7ED9" w:rsidRDefault="73BB7ED9" w:rsidP="73BB7ED9">
      <w:pPr>
        <w:pStyle w:val="CS-IBMBullet2"/>
      </w:pPr>
      <w:r>
        <w:t>Conducting testing for validating complex federal and state regulations, achieving compliance and system accuracy.</w:t>
      </w:r>
    </w:p>
    <w:p w14:paraId="0E8C0FEA" w14:textId="68CB86BF" w:rsidR="73BB7ED9" w:rsidRDefault="73BB7ED9" w:rsidP="73BB7ED9">
      <w:pPr>
        <w:pStyle w:val="CS-IBMBullet2"/>
      </w:pPr>
      <w:r>
        <w:t>Utilizing predictive defect analytics to f</w:t>
      </w:r>
      <w:r w:rsidR="00455DF5">
        <w:t>o</w:t>
      </w:r>
      <w:r>
        <w:t>cus testing and implementing pre-promotion test gates</w:t>
      </w:r>
    </w:p>
    <w:p w14:paraId="5C3F7F57" w14:textId="05930B95" w:rsidR="73BB7ED9" w:rsidRDefault="73BB7ED9" w:rsidP="73BB7ED9">
      <w:pPr>
        <w:pStyle w:val="CS-IBMBullet2"/>
      </w:pPr>
      <w:r>
        <w:t>Achieving a 40% reduction in rework and measurable improvement in release predictability.</w:t>
      </w:r>
    </w:p>
    <w:p w14:paraId="7A646F59" w14:textId="3ADD6088" w:rsidR="73BB7ED9" w:rsidRDefault="73BB7ED9" w:rsidP="73BB7ED9">
      <w:pPr>
        <w:pStyle w:val="CS-IBMBullet1"/>
        <w:spacing w:line="259" w:lineRule="auto"/>
        <w:rPr>
          <w:b/>
          <w:bCs/>
        </w:rPr>
      </w:pPr>
      <w:r>
        <w:t>The State of Florida, Department of Children and Families (DCF) reference contact is below:</w:t>
      </w:r>
    </w:p>
    <w:p w14:paraId="1BE5EF0B" w14:textId="17C1E880" w:rsidR="73BB7ED9" w:rsidRDefault="73BB7ED9" w:rsidP="73BB7ED9">
      <w:pPr>
        <w:pStyle w:val="CS-IBMBullet2"/>
        <w:spacing w:line="259" w:lineRule="auto"/>
        <w:rPr>
          <w:color w:val="000000" w:themeColor="text2"/>
          <w:szCs w:val="22"/>
        </w:rPr>
      </w:pPr>
      <w:r w:rsidRPr="73BB7ED9">
        <w:rPr>
          <w:b/>
          <w:bCs/>
        </w:rPr>
        <w:t>Contact:</w:t>
      </w:r>
      <w:r>
        <w:t xml:space="preserve"> James Cheatham, Director, Family and Community Services</w:t>
      </w:r>
    </w:p>
    <w:p w14:paraId="3A040181" w14:textId="23DF577A" w:rsidR="73BB7ED9" w:rsidRDefault="73BB7ED9" w:rsidP="73BB7ED9">
      <w:pPr>
        <w:pStyle w:val="CS-IBMBullet2"/>
        <w:spacing w:line="259" w:lineRule="auto"/>
        <w:rPr>
          <w:color w:val="000000" w:themeColor="text2"/>
          <w:szCs w:val="22"/>
        </w:rPr>
      </w:pPr>
      <w:r w:rsidRPr="73BB7ED9">
        <w:rPr>
          <w:b/>
          <w:bCs/>
        </w:rPr>
        <w:t xml:space="preserve">Organization: </w:t>
      </w:r>
      <w:r>
        <w:t>State of Florida, Department of Children and Families</w:t>
      </w:r>
    </w:p>
    <w:p w14:paraId="6AA458C7" w14:textId="1095AF1A" w:rsidR="73BB7ED9" w:rsidRDefault="73BB7ED9" w:rsidP="73BB7ED9">
      <w:pPr>
        <w:pStyle w:val="CS-IBMBullet2"/>
        <w:spacing w:line="259" w:lineRule="auto"/>
        <w:rPr>
          <w:color w:val="000000" w:themeColor="text2"/>
          <w:szCs w:val="22"/>
        </w:rPr>
      </w:pPr>
      <w:r w:rsidRPr="73BB7ED9">
        <w:rPr>
          <w:b/>
          <w:bCs/>
        </w:rPr>
        <w:t>Address:</w:t>
      </w:r>
      <w:r>
        <w:t xml:space="preserve"> 2415 N. Monroe Street, Tallahassee, Florida 32303</w:t>
      </w:r>
    </w:p>
    <w:p w14:paraId="7997E607" w14:textId="1AB443BA" w:rsidR="73BB7ED9" w:rsidRDefault="73BB7ED9" w:rsidP="73BB7ED9">
      <w:pPr>
        <w:pStyle w:val="CS-IBMBullet2"/>
        <w:spacing w:line="259" w:lineRule="auto"/>
        <w:rPr>
          <w:color w:val="000000" w:themeColor="text2"/>
          <w:szCs w:val="22"/>
        </w:rPr>
      </w:pPr>
      <w:r w:rsidRPr="73BB7ED9">
        <w:rPr>
          <w:b/>
          <w:bCs/>
        </w:rPr>
        <w:t>Phone:</w:t>
      </w:r>
      <w:r>
        <w:t xml:space="preserve"> (850) 879-5573</w:t>
      </w:r>
    </w:p>
    <w:p w14:paraId="1B6E2CCF" w14:textId="732B2A5F" w:rsidR="73BB7ED9" w:rsidRDefault="73BB7ED9" w:rsidP="73BB7ED9">
      <w:pPr>
        <w:pStyle w:val="CS-IBMBullet2"/>
        <w:spacing w:line="259" w:lineRule="auto"/>
        <w:rPr>
          <w:color w:val="000000" w:themeColor="text2"/>
          <w:szCs w:val="22"/>
        </w:rPr>
      </w:pPr>
      <w:r w:rsidRPr="73BB7ED9">
        <w:rPr>
          <w:b/>
          <w:bCs/>
        </w:rPr>
        <w:t>Email:</w:t>
      </w:r>
      <w:r>
        <w:t xml:space="preserve"> james.cheatham@myflfamilies.com</w:t>
      </w:r>
    </w:p>
    <w:p w14:paraId="7F4212BD" w14:textId="469BCA20" w:rsidR="73BB7ED9" w:rsidRPr="003A7690" w:rsidRDefault="73BB7ED9" w:rsidP="73BB7ED9">
      <w:pPr>
        <w:pStyle w:val="CS-IBMResponseText"/>
        <w:rPr>
          <w:b/>
          <w:color w:val="0070C0"/>
        </w:rPr>
      </w:pPr>
      <w:r w:rsidRPr="003A7690">
        <w:rPr>
          <w:b/>
          <w:color w:val="0070C0"/>
        </w:rPr>
        <w:t>F2: At least three (3) years of experience performing Quality Assurance services in an environment applying UCD processes and/or User Experience (UX) activities on IT Projects.</w:t>
      </w:r>
    </w:p>
    <w:p w14:paraId="3B409421" w14:textId="78DC203F" w:rsidR="73BB7ED9" w:rsidRDefault="73BB7ED9" w:rsidP="73BB7ED9">
      <w:pPr>
        <w:pStyle w:val="CS-IBMResponseText"/>
      </w:pPr>
      <w:r>
        <w:t>Since 2020, IBM has been performing Quality Assurance services in an environment applying UCD processes and/or User Experience (UX) activities on the CA-MMIS engagemen</w:t>
      </w:r>
      <w:r w:rsidR="00FB28B9">
        <w:t>t.</w:t>
      </w:r>
      <w:r w:rsidR="00CD6A8C">
        <w:t xml:space="preserve"> </w:t>
      </w:r>
      <w:r>
        <w:t>This includes but is not limited to conducting the following activities:</w:t>
      </w:r>
    </w:p>
    <w:p w14:paraId="13B93983" w14:textId="3016EDA5" w:rsidR="73BB7ED9" w:rsidRDefault="73BB7ED9" w:rsidP="73BB7ED9">
      <w:pPr>
        <w:pStyle w:val="CS-IBMBullet1"/>
      </w:pPr>
      <w:r>
        <w:t>IBM performed Quality Assurance (QA) services in the CA-MMIS environment that applies UCD processes and/or User Experience (UI) activities. The QA Services provided by IBM at CA-MMIS have been instrumental in the success of the Provider Portal. Our QA approach incorporated both traditional and user experience-focused services tailored specifically for IT projects of this nature. By utilizing various testing methodologies, a dedicated team employed diverse tools and techniques to ensure compliance with client and project requirements. The following traditional QA services significantly enhanced the Provider Portal: and have been performed at CA-MMIS:</w:t>
      </w:r>
    </w:p>
    <w:p w14:paraId="69C6A4D1" w14:textId="3CBD29CD" w:rsidR="73BB7ED9" w:rsidRDefault="73BB7ED9" w:rsidP="73BB7ED9">
      <w:pPr>
        <w:pStyle w:val="CS-IBMBullet2"/>
      </w:pPr>
      <w:r w:rsidRPr="73BB7ED9">
        <w:rPr>
          <w:b/>
          <w:bCs/>
        </w:rPr>
        <w:t xml:space="preserve">Automated Testing: </w:t>
      </w:r>
      <w:r>
        <w:t xml:space="preserve">Utilized </w:t>
      </w:r>
      <w:r w:rsidR="00B91B42">
        <w:t>tools</w:t>
      </w:r>
      <w:r>
        <w:t xml:space="preserve"> to execute comprehensive test cases, increasing efficiency, particularly for regression testing.</w:t>
      </w:r>
    </w:p>
    <w:p w14:paraId="63BD97AF" w14:textId="1F0A4F4C" w:rsidR="73BB7ED9" w:rsidRDefault="73BB7ED9" w:rsidP="73BB7ED9">
      <w:pPr>
        <w:pStyle w:val="CS-IBMBullet2"/>
      </w:pPr>
      <w:r w:rsidRPr="73BB7ED9">
        <w:rPr>
          <w:b/>
          <w:bCs/>
        </w:rPr>
        <w:t>Functional Testing:</w:t>
      </w:r>
      <w:r>
        <w:t xml:space="preserve"> Confirmed that the </w:t>
      </w:r>
      <w:r w:rsidR="00113F0C">
        <w:t>application</w:t>
      </w:r>
      <w:r>
        <w:t xml:space="preserve"> features aligned with specified requirements.</w:t>
      </w:r>
    </w:p>
    <w:p w14:paraId="2EDFD80D" w14:textId="2F936EA0" w:rsidR="73BB7ED9" w:rsidRDefault="73BB7ED9" w:rsidP="73BB7ED9">
      <w:pPr>
        <w:pStyle w:val="CS-IBMBullet2"/>
      </w:pPr>
      <w:r w:rsidRPr="73BB7ED9">
        <w:rPr>
          <w:b/>
          <w:bCs/>
        </w:rPr>
        <w:t xml:space="preserve">Performance Testing: </w:t>
      </w:r>
      <w:r>
        <w:t xml:space="preserve">Evaluated </w:t>
      </w:r>
      <w:r w:rsidR="00455DF5">
        <w:t>application</w:t>
      </w:r>
      <w:r>
        <w:t xml:space="preserve"> speed, stability, and capacity under various workloads to ensure optimal performance during peak usage.</w:t>
      </w:r>
    </w:p>
    <w:p w14:paraId="69BBE09C" w14:textId="0D0AB56D" w:rsidR="73BB7ED9" w:rsidRDefault="73BB7ED9" w:rsidP="73BB7ED9">
      <w:pPr>
        <w:pStyle w:val="CS-IBMBullet2"/>
      </w:pPr>
      <w:r w:rsidRPr="73BB7ED9">
        <w:rPr>
          <w:b/>
          <w:bCs/>
        </w:rPr>
        <w:t xml:space="preserve">Integration Testing: </w:t>
      </w:r>
      <w:r>
        <w:t xml:space="preserve">Validated the seamless interaction among diverse </w:t>
      </w:r>
      <w:r w:rsidR="00BD253B">
        <w:t>application</w:t>
      </w:r>
      <w:r>
        <w:t xml:space="preserve"> modules and services.</w:t>
      </w:r>
    </w:p>
    <w:p w14:paraId="15AB8977" w14:textId="5425BACA" w:rsidR="73BB7ED9" w:rsidRDefault="73BB7ED9" w:rsidP="73BB7ED9">
      <w:pPr>
        <w:pStyle w:val="CS-IBMBullet2"/>
      </w:pPr>
      <w:r w:rsidRPr="73BB7ED9">
        <w:rPr>
          <w:b/>
          <w:bCs/>
        </w:rPr>
        <w:lastRenderedPageBreak/>
        <w:t>Beta Testing:</w:t>
      </w:r>
      <w:r>
        <w:t xml:space="preserve"> Engaged actual users to evaluate the </w:t>
      </w:r>
      <w:r w:rsidR="00BD253B">
        <w:t>application</w:t>
      </w:r>
      <w:r>
        <w:t>, identifying usability issues and functional gaps.</w:t>
      </w:r>
    </w:p>
    <w:p w14:paraId="6573848E" w14:textId="77777777" w:rsidR="73BB7ED9" w:rsidRDefault="73BB7ED9" w:rsidP="73BB7ED9">
      <w:pPr>
        <w:pStyle w:val="CS-IBMResponseText"/>
        <w:ind w:left="357"/>
      </w:pPr>
      <w:r>
        <w:t>The CA-MMIS reference contact is below:</w:t>
      </w:r>
    </w:p>
    <w:p w14:paraId="5B4136E3" w14:textId="72A9AD54" w:rsidR="73BB7ED9" w:rsidRDefault="73BB7ED9" w:rsidP="73BB7ED9">
      <w:pPr>
        <w:pStyle w:val="CS-IBMBullet2"/>
      </w:pPr>
      <w:r w:rsidRPr="73BB7ED9">
        <w:rPr>
          <w:b/>
          <w:bCs/>
        </w:rPr>
        <w:t xml:space="preserve">Contact: </w:t>
      </w:r>
      <w:r>
        <w:t>Doug Vincent, Chief, Vendor Management Section Branch</w:t>
      </w:r>
    </w:p>
    <w:p w14:paraId="49A17F02" w14:textId="1CCC8D10" w:rsidR="73BB7ED9" w:rsidRDefault="73BB7ED9" w:rsidP="73BB7ED9">
      <w:pPr>
        <w:pStyle w:val="CS-IBMBullet2"/>
      </w:pPr>
      <w:r w:rsidRPr="73BB7ED9">
        <w:rPr>
          <w:b/>
          <w:bCs/>
        </w:rPr>
        <w:t>Organization:</w:t>
      </w:r>
      <w:r>
        <w:t xml:space="preserve"> California Medicaid Management Information System (CA-MMIS)</w:t>
      </w:r>
    </w:p>
    <w:p w14:paraId="0B225EFF" w14:textId="0103724D" w:rsidR="73BB7ED9" w:rsidRDefault="73BB7ED9" w:rsidP="73BB7ED9">
      <w:pPr>
        <w:pStyle w:val="CS-IBMBullet2"/>
      </w:pPr>
      <w:r w:rsidRPr="73BB7ED9">
        <w:rPr>
          <w:b/>
          <w:bCs/>
        </w:rPr>
        <w:t xml:space="preserve">Address: </w:t>
      </w:r>
      <w:r>
        <w:t>830 Stillwater Road, West Sacramento, CA 95605</w:t>
      </w:r>
    </w:p>
    <w:p w14:paraId="515BA7F3" w14:textId="6F8B4773" w:rsidR="73BB7ED9" w:rsidRDefault="73BB7ED9" w:rsidP="73BB7ED9">
      <w:pPr>
        <w:pStyle w:val="CS-IBMBullet2"/>
      </w:pPr>
      <w:r w:rsidRPr="73BB7ED9">
        <w:rPr>
          <w:b/>
          <w:bCs/>
        </w:rPr>
        <w:t xml:space="preserve">Phone: </w:t>
      </w:r>
      <w:r>
        <w:t>(916) 208-5265</w:t>
      </w:r>
    </w:p>
    <w:p w14:paraId="65C3EB3B" w14:textId="5145AD7C" w:rsidR="73BB7ED9" w:rsidRDefault="73BB7ED9" w:rsidP="73BB7ED9">
      <w:pPr>
        <w:pStyle w:val="CS-IBMBullet2"/>
      </w:pPr>
      <w:r w:rsidRPr="73BB7ED9">
        <w:rPr>
          <w:b/>
          <w:bCs/>
        </w:rPr>
        <w:t>Email:</w:t>
      </w:r>
      <w:r>
        <w:t xml:space="preserve"> Doug.Vincent@dhcs.ca.gov</w:t>
      </w:r>
    </w:p>
    <w:p w14:paraId="19C8165B" w14:textId="77777777" w:rsidR="73BB7ED9" w:rsidRPr="003A7690" w:rsidRDefault="73BB7ED9" w:rsidP="73BB7ED9">
      <w:pPr>
        <w:pStyle w:val="CS-IBMResponseText"/>
        <w:rPr>
          <w:b/>
          <w:color w:val="0070C0"/>
        </w:rPr>
      </w:pPr>
      <w:r w:rsidRPr="003A7690">
        <w:rPr>
          <w:b/>
          <w:color w:val="0070C0"/>
        </w:rPr>
        <w:t>F3: At least three (3) years of experience performing Quality Assurance services in an environment of similar size and complexity to CalSAWS with:  1) Real-time web-based application experience in JAVA and 2) AWS cloud architecture experience.</w:t>
      </w:r>
    </w:p>
    <w:p w14:paraId="368F5CEF" w14:textId="77777777" w:rsidR="73BB7ED9" w:rsidRDefault="73BB7ED9" w:rsidP="73BB7ED9">
      <w:pPr>
        <w:pStyle w:val="CS-IBMResponseText"/>
      </w:pPr>
      <w:r>
        <w:t>Since 2020, IBM has been performing Quality Assurance services in an environment of similar size and complexity to CalSAWS with (1) Real-time web-based application experience in JAVA and; (2) AWS cloud architecture experience on the CA-MMIS engagement. This includes but is not limited to conducting the following activities:</w:t>
      </w:r>
    </w:p>
    <w:p w14:paraId="12204D23" w14:textId="182F84F5" w:rsidR="73BB7ED9" w:rsidRDefault="73BB7ED9" w:rsidP="73BB7ED9">
      <w:pPr>
        <w:pStyle w:val="CS-IBMBullet1"/>
      </w:pPr>
      <w:r>
        <w:t>Conducting manual and automated Testing to ensure usability and efficiency.</w:t>
      </w:r>
    </w:p>
    <w:p w14:paraId="1117A7CC" w14:textId="638AF892" w:rsidR="73BB7ED9" w:rsidRDefault="73BB7ED9" w:rsidP="73BB7ED9">
      <w:pPr>
        <w:pStyle w:val="CS-IBMBullet1"/>
      </w:pPr>
      <w:r>
        <w:t>Conducting functional Testing to verify compliance with requirements.</w:t>
      </w:r>
    </w:p>
    <w:p w14:paraId="7B0DE4D8" w14:textId="6D2313C8" w:rsidR="73BB7ED9" w:rsidRDefault="73BB7ED9" w:rsidP="73BB7ED9">
      <w:pPr>
        <w:pStyle w:val="CS-IBMBullet1"/>
      </w:pPr>
      <w:r>
        <w:t>Executing performance Testing to assess scalability and stability under peak loads</w:t>
      </w:r>
    </w:p>
    <w:p w14:paraId="2ED09804" w14:textId="183445D5" w:rsidR="73BB7ED9" w:rsidRDefault="73BB7ED9" w:rsidP="73BB7ED9">
      <w:pPr>
        <w:pStyle w:val="CS-IBMBullet1"/>
      </w:pPr>
      <w:r>
        <w:t>Performing integration Testing to validate seamless interaction between modules.</w:t>
      </w:r>
    </w:p>
    <w:p w14:paraId="25E44EA0" w14:textId="30924B09" w:rsidR="73BB7ED9" w:rsidRDefault="73BB7ED9" w:rsidP="73BB7ED9">
      <w:pPr>
        <w:pStyle w:val="CS-IBMBullet1"/>
      </w:pPr>
      <w:r>
        <w:t xml:space="preserve">Executing security Testing using tools like </w:t>
      </w:r>
      <w:proofErr w:type="spellStart"/>
      <w:r>
        <w:t>Snyk</w:t>
      </w:r>
      <w:proofErr w:type="spellEnd"/>
      <w:r>
        <w:t xml:space="preserve"> and Sonar.</w:t>
      </w:r>
    </w:p>
    <w:p w14:paraId="0C3F05E7" w14:textId="24A8669A" w:rsidR="73BB7ED9" w:rsidRDefault="73BB7ED9" w:rsidP="73BB7ED9">
      <w:pPr>
        <w:pStyle w:val="CS-IBMBullet1"/>
      </w:pPr>
      <w:r>
        <w:t>Performing accessibility Testing for 508/ADA compliance.</w:t>
      </w:r>
    </w:p>
    <w:p w14:paraId="75E014DC" w14:textId="77777777" w:rsidR="73BB7ED9" w:rsidRDefault="73BB7ED9" w:rsidP="73BB7ED9">
      <w:pPr>
        <w:pStyle w:val="CS-IBMResponseText"/>
      </w:pPr>
      <w:r>
        <w:t>IBM also employed QA processes aligned with User-Centric Design (UCD) and User Experience (UX) principles, including usability testing, heuristic evaluations, cognitive walkthroughs, and analytics integration. These practices ensured that the JAVA-based applications delivered high-quality user experiences within the AWS cloud architecture.</w:t>
      </w:r>
    </w:p>
    <w:p w14:paraId="0BAECDFE" w14:textId="77777777" w:rsidR="73BB7ED9" w:rsidRDefault="73BB7ED9" w:rsidP="73BB7ED9">
      <w:pPr>
        <w:pStyle w:val="CS-IBMResponseText"/>
      </w:pPr>
      <w:r>
        <w:t>The CA-MMIS reference contact is below:</w:t>
      </w:r>
    </w:p>
    <w:p w14:paraId="6A5E3B52" w14:textId="26B46E03" w:rsidR="73BB7ED9" w:rsidRDefault="73BB7ED9" w:rsidP="73BB7ED9">
      <w:pPr>
        <w:pStyle w:val="CS-IBMBullet1"/>
      </w:pPr>
      <w:r w:rsidRPr="73BB7ED9">
        <w:rPr>
          <w:b/>
          <w:bCs/>
        </w:rPr>
        <w:t xml:space="preserve">Contact: </w:t>
      </w:r>
      <w:r>
        <w:t>Doug Vincent, Chief, Vendor Management Section Branch</w:t>
      </w:r>
    </w:p>
    <w:p w14:paraId="57199C18" w14:textId="10E8D043" w:rsidR="73BB7ED9" w:rsidRDefault="73BB7ED9" w:rsidP="73BB7ED9">
      <w:pPr>
        <w:pStyle w:val="CS-IBMBullet1"/>
      </w:pPr>
      <w:r w:rsidRPr="73BB7ED9">
        <w:rPr>
          <w:b/>
          <w:bCs/>
        </w:rPr>
        <w:t>Organization:</w:t>
      </w:r>
      <w:r>
        <w:t xml:space="preserve"> California Medicaid Management Information System (CA-MMIS)</w:t>
      </w:r>
    </w:p>
    <w:p w14:paraId="7F08ADD0" w14:textId="290C314B" w:rsidR="73BB7ED9" w:rsidRDefault="73BB7ED9" w:rsidP="73BB7ED9">
      <w:pPr>
        <w:pStyle w:val="CS-IBMBullet1"/>
      </w:pPr>
      <w:r w:rsidRPr="73BB7ED9">
        <w:rPr>
          <w:b/>
          <w:bCs/>
        </w:rPr>
        <w:t xml:space="preserve">Address: </w:t>
      </w:r>
      <w:r>
        <w:t>830 Stillwater Road, West Sacramento, CA 95605</w:t>
      </w:r>
    </w:p>
    <w:p w14:paraId="43C01D0A" w14:textId="4B3CE83D" w:rsidR="73BB7ED9" w:rsidRDefault="73BB7ED9" w:rsidP="73BB7ED9">
      <w:pPr>
        <w:pStyle w:val="CS-IBMBullet1"/>
      </w:pPr>
      <w:r w:rsidRPr="73BB7ED9">
        <w:rPr>
          <w:b/>
          <w:bCs/>
        </w:rPr>
        <w:t xml:space="preserve">Phone: </w:t>
      </w:r>
      <w:r>
        <w:t>(916) 208-5265</w:t>
      </w:r>
    </w:p>
    <w:p w14:paraId="3E133AC3" w14:textId="13B67D75" w:rsidR="73BB7ED9" w:rsidRDefault="73BB7ED9" w:rsidP="73BB7ED9">
      <w:pPr>
        <w:pStyle w:val="CS-IBMBullet1"/>
      </w:pPr>
      <w:r w:rsidRPr="73BB7ED9">
        <w:rPr>
          <w:b/>
          <w:bCs/>
        </w:rPr>
        <w:t>Email:</w:t>
      </w:r>
      <w:r>
        <w:t xml:space="preserve"> </w:t>
      </w:r>
      <w:hyperlink r:id="rId11" w:history="1">
        <w:r w:rsidR="0011545D" w:rsidRPr="00DF65EA">
          <w:rPr>
            <w:rStyle w:val="Hyperlink"/>
          </w:rPr>
          <w:t>Doug.Vincent@dhcs.ca.gov</w:t>
        </w:r>
      </w:hyperlink>
    </w:p>
    <w:p w14:paraId="3D48AF76" w14:textId="4AC38EFF" w:rsidR="001021EA" w:rsidRPr="00965443" w:rsidRDefault="00175B99" w:rsidP="001021EA">
      <w:pPr>
        <w:pStyle w:val="Heading3"/>
      </w:pPr>
      <w:r>
        <w:t xml:space="preserve"> </w:t>
      </w:r>
      <w:bookmarkStart w:id="4" w:name="_Toc213084240"/>
      <w:r w:rsidR="001021EA">
        <w:t>Firm Organizational Chart</w:t>
      </w:r>
      <w:r w:rsidR="007E22D6">
        <w:t xml:space="preserve"> (6.3.3.4.1)</w:t>
      </w:r>
      <w:bookmarkEnd w:id="4"/>
    </w:p>
    <w:p w14:paraId="6961147B" w14:textId="297E47A0" w:rsidR="00CE76B8" w:rsidRDefault="001D702E" w:rsidP="00281A69">
      <w:pPr>
        <w:rPr>
          <w:color w:val="0070C0"/>
        </w:rPr>
      </w:pPr>
      <w:r w:rsidRPr="001D702E">
        <w:rPr>
          <w:color w:val="0070C0"/>
        </w:rPr>
        <w:t>The Contractor shall provide a firm organization chart. If the firm is a subsidiary of a parent company, the organization chart must be that of the subsidiary firm. The chart must display the firm’s structure and the organizational placement of the QA Services Project. The organization chart must include names and an effective date. The Contractor shall supply any additional information not already presented in this Section, which the Bidder believes to be relevant to the Consortium’s assessment of the Contractor’s experience with regard to the specifics of this RFP.</w:t>
      </w:r>
    </w:p>
    <w:p w14:paraId="13F480DF" w14:textId="3A146825" w:rsidR="00935F52" w:rsidRDefault="00935F52" w:rsidP="00C96A52">
      <w:pPr>
        <w:rPr>
          <w:color w:val="auto"/>
        </w:rPr>
      </w:pPr>
      <w:r w:rsidRPr="00935F52">
        <w:rPr>
          <w:b/>
          <w:bCs/>
          <w:color w:val="auto"/>
        </w:rPr>
        <w:lastRenderedPageBreak/>
        <w:t>Executive Overview:</w:t>
      </w:r>
      <w:r w:rsidRPr="00935F52">
        <w:rPr>
          <w:color w:val="auto"/>
        </w:rPr>
        <w:t xml:space="preserve"> IBM’s senior leadership is anchored by </w:t>
      </w:r>
      <w:r>
        <w:rPr>
          <w:color w:val="auto"/>
        </w:rPr>
        <w:t xml:space="preserve">President and </w:t>
      </w:r>
      <w:r w:rsidRPr="00935F52">
        <w:rPr>
          <w:color w:val="auto"/>
        </w:rPr>
        <w:t xml:space="preserve">CEO Arvind Krishna, with a set of direct reports spanning finance, operations, legal, marketing, and its major product/service lines </w:t>
      </w:r>
      <w:r>
        <w:rPr>
          <w:color w:val="auto"/>
        </w:rPr>
        <w:t xml:space="preserve">as </w:t>
      </w:r>
      <w:r w:rsidR="0012390F" w:rsidRPr="00A37BFF">
        <w:rPr>
          <w:color w:val="auto"/>
        </w:rPr>
        <w:t>IBM follows a matrix structure, blending functional and divisional models to support its broad operations.</w:t>
      </w:r>
      <w:r w:rsidR="005D0B8C">
        <w:rPr>
          <w:color w:val="auto"/>
        </w:rPr>
        <w:t xml:space="preserve"> </w:t>
      </w:r>
    </w:p>
    <w:p w14:paraId="22A06389" w14:textId="03FA254A" w:rsidR="00C96A52" w:rsidRPr="00C96A52" w:rsidRDefault="00C96A52" w:rsidP="00C96A52">
      <w:pPr>
        <w:rPr>
          <w:color w:val="auto"/>
        </w:rPr>
      </w:pPr>
      <w:proofErr w:type="gramStart"/>
      <w:r w:rsidRPr="00C96A52">
        <w:rPr>
          <w:color w:val="auto"/>
        </w:rPr>
        <w:t>Directly</w:t>
      </w:r>
      <w:proofErr w:type="gramEnd"/>
      <w:r w:rsidRPr="00C96A52">
        <w:rPr>
          <w:color w:val="auto"/>
        </w:rPr>
        <w:t xml:space="preserve"> reporting to </w:t>
      </w:r>
      <w:r w:rsidR="00935F52">
        <w:rPr>
          <w:color w:val="auto"/>
        </w:rPr>
        <w:t>Arvind</w:t>
      </w:r>
      <w:r w:rsidRPr="00C96A52">
        <w:rPr>
          <w:color w:val="auto"/>
        </w:rPr>
        <w:t xml:space="preserve"> are key corporate and business-unit executives. These include James J. Kavanaugh (Senior Vice President and Chief Financial Officer) (newsroom.ibm.com), Gary D. Cohn (Vice Chairman), and a slate of Senior Vice Presidents overseeing IBM’s global functions. For example, Mohamad Ali is Senior VP of IBM Consulting (www.ibm.com) (with John Granger as Chairman of IBM Consulting (newsroom.ibm.com)), Jonathan Adashek is SVP of Marketing &amp; Communications (www.ibm.com), Ana Paula Assis leads EMEA and Growth Markets, Nickle </w:t>
      </w:r>
      <w:proofErr w:type="spellStart"/>
      <w:r w:rsidRPr="00C96A52">
        <w:rPr>
          <w:color w:val="auto"/>
        </w:rPr>
        <w:t>LaMoreaux</w:t>
      </w:r>
      <w:proofErr w:type="spellEnd"/>
      <w:r w:rsidRPr="00C96A52">
        <w:rPr>
          <w:color w:val="auto"/>
        </w:rPr>
        <w:t xml:space="preserve"> is SVP &amp; CHRO, Ric Lewis is SVP, Infrastructure, Dinesh Nirmal is SVP, Software Products, Anne Robinson is SVP &amp; Chief Legal Officer (General Counsel), and Dr. Jay Gambetta is Director of IBM Research (www.ibm.com) (www.ibm.com). (See evidence index below for sources.)</w:t>
      </w:r>
    </w:p>
    <w:p w14:paraId="36D6F4CC" w14:textId="3DBA8748" w:rsidR="0012390F" w:rsidRPr="00A37BFF" w:rsidRDefault="00C96A52" w:rsidP="00C96A52">
      <w:pPr>
        <w:rPr>
          <w:color w:val="auto"/>
        </w:rPr>
      </w:pPr>
      <w:r w:rsidRPr="00432624">
        <w:rPr>
          <w:color w:val="auto"/>
        </w:rPr>
        <w:t>This leadership chart</w:t>
      </w:r>
      <w:r w:rsidRPr="00C96A52">
        <w:rPr>
          <w:color w:val="auto"/>
        </w:rPr>
        <w:t xml:space="preserve"> shows that IBM </w:t>
      </w:r>
      <w:r w:rsidR="00C11226">
        <w:rPr>
          <w:color w:val="auto"/>
        </w:rPr>
        <w:t xml:space="preserve">is </w:t>
      </w:r>
      <w:r w:rsidRPr="00C96A52">
        <w:rPr>
          <w:color w:val="auto"/>
        </w:rPr>
        <w:t>organize</w:t>
      </w:r>
      <w:r w:rsidR="00C11226">
        <w:rPr>
          <w:color w:val="auto"/>
        </w:rPr>
        <w:t>d</w:t>
      </w:r>
      <w:r w:rsidRPr="00C96A52">
        <w:rPr>
          <w:color w:val="auto"/>
        </w:rPr>
        <w:t xml:space="preserve"> by both function and product line. Corporate functions like Finance (CFO Kavanaugh) and HR (</w:t>
      </w:r>
      <w:proofErr w:type="spellStart"/>
      <w:r w:rsidRPr="00C96A52">
        <w:rPr>
          <w:color w:val="auto"/>
        </w:rPr>
        <w:t>LaMoreaux</w:t>
      </w:r>
      <w:proofErr w:type="spellEnd"/>
      <w:r w:rsidRPr="00C96A52">
        <w:rPr>
          <w:color w:val="auto"/>
        </w:rPr>
        <w:t>) sit alongside business units. Notably, there is no standalone executive or unit explicitly named “QA Services” in IBM’s public org chart. Quality assurance activities in IBM are typically embedded within product development or consulting/service organizations (Analyst Insight). For instance, IBM Consulting (led by Ali/Granger) offers “Quality Engineering and Testing” services to clients, and IBM’s enterprise operations (under the CFO/COO) manage internal quality processes (newsroom.ibm.com) (newsroom.ibm.com). In practice, a QA services team would likely align under IBM Consulting or a related delivery unit.</w:t>
      </w:r>
    </w:p>
    <w:p w14:paraId="6F79F6C5" w14:textId="77777777" w:rsidR="0012390F" w:rsidRPr="00A37BFF" w:rsidRDefault="0012390F" w:rsidP="0012390F">
      <w:pPr>
        <w:rPr>
          <w:color w:val="auto"/>
        </w:rPr>
      </w:pPr>
      <w:r w:rsidRPr="00432624">
        <w:rPr>
          <w:b/>
          <w:color w:val="auto"/>
        </w:rPr>
        <w:t>Structure type:</w:t>
      </w:r>
      <w:r w:rsidRPr="00A37BFF">
        <w:rPr>
          <w:color w:val="auto"/>
        </w:rPr>
        <w:t xml:space="preserve"> Functional teams (e.g., Cloud, Consulting) intersect with regional and industry-focused divisions</w:t>
      </w:r>
    </w:p>
    <w:p w14:paraId="34FCDA67" w14:textId="77777777" w:rsidR="0012390F" w:rsidRPr="00A37BFF" w:rsidRDefault="0012390F" w:rsidP="0012390F">
      <w:pPr>
        <w:rPr>
          <w:color w:val="auto"/>
        </w:rPr>
      </w:pPr>
      <w:r w:rsidRPr="00432624">
        <w:rPr>
          <w:b/>
          <w:color w:val="auto"/>
        </w:rPr>
        <w:t>Employees</w:t>
      </w:r>
      <w:r w:rsidRPr="00A37BFF">
        <w:rPr>
          <w:color w:val="auto"/>
        </w:rPr>
        <w:t>: Over 260,000 worldwide</w:t>
      </w:r>
    </w:p>
    <w:p w14:paraId="63537E8D" w14:textId="68992EB1" w:rsidR="0012390F" w:rsidRDefault="0012390F" w:rsidP="0012390F">
      <w:pPr>
        <w:rPr>
          <w:color w:val="auto"/>
        </w:rPr>
      </w:pPr>
      <w:r w:rsidRPr="00432624">
        <w:rPr>
          <w:b/>
          <w:color w:val="auto"/>
        </w:rPr>
        <w:t>Key executives</w:t>
      </w:r>
      <w:r w:rsidRPr="00A37BFF">
        <w:rPr>
          <w:color w:val="auto"/>
        </w:rPr>
        <w:t>: CEO Arvind Krishna</w:t>
      </w:r>
    </w:p>
    <w:p w14:paraId="10E03122" w14:textId="77777777" w:rsidR="001D71C1" w:rsidRPr="001D71C1" w:rsidRDefault="001D71C1" w:rsidP="001D71C1">
      <w:pPr>
        <w:numPr>
          <w:ilvl w:val="0"/>
          <w:numId w:val="30"/>
        </w:numPr>
        <w:rPr>
          <w:color w:val="auto"/>
        </w:rPr>
      </w:pPr>
      <w:r w:rsidRPr="001D71C1">
        <w:rPr>
          <w:b/>
          <w:bCs/>
          <w:color w:val="auto"/>
        </w:rPr>
        <w:t>Finance:</w:t>
      </w:r>
      <w:r w:rsidRPr="001D71C1">
        <w:rPr>
          <w:color w:val="auto"/>
        </w:rPr>
        <w:t> James J. Kavanaugh – Senior VP &amp; Chief Financial Officer (</w:t>
      </w:r>
      <w:hyperlink r:id="rId12" w:anchor="::text=Senior%20Vice%20President%20and%20Chief,Financial%20Officer" w:history="1">
        <w:r w:rsidRPr="001D71C1">
          <w:rPr>
            <w:rStyle w:val="Hyperlink"/>
            <w:b/>
            <w:bCs/>
          </w:rPr>
          <w:t>newsroom.ibm.com</w:t>
        </w:r>
      </w:hyperlink>
      <w:r w:rsidRPr="001D71C1">
        <w:rPr>
          <w:color w:val="auto"/>
        </w:rPr>
        <w:t>), overseeing all financial strategy, controls, and enterprise operations.</w:t>
      </w:r>
    </w:p>
    <w:p w14:paraId="03C99BC1" w14:textId="77777777" w:rsidR="001D71C1" w:rsidRPr="001D71C1" w:rsidRDefault="001D71C1" w:rsidP="001D71C1">
      <w:pPr>
        <w:numPr>
          <w:ilvl w:val="0"/>
          <w:numId w:val="30"/>
        </w:numPr>
        <w:rPr>
          <w:color w:val="auto"/>
        </w:rPr>
      </w:pPr>
      <w:r w:rsidRPr="001D71C1">
        <w:rPr>
          <w:b/>
          <w:bCs/>
          <w:color w:val="auto"/>
        </w:rPr>
        <w:t>Consulting:</w:t>
      </w:r>
      <w:r w:rsidRPr="001D71C1">
        <w:rPr>
          <w:color w:val="auto"/>
        </w:rPr>
        <w:t> Mohamad Ali – Senior VP, IBM Consulting (</w:t>
      </w:r>
      <w:hyperlink r:id="rId13" w:anchor="::text=Jonathan%20H,President%2C%20Marketing%20and%20Communications" w:history="1">
        <w:r w:rsidRPr="001D71C1">
          <w:rPr>
            <w:rStyle w:val="Hyperlink"/>
            <w:b/>
            <w:bCs/>
          </w:rPr>
          <w:t>www.ibm.com</w:t>
        </w:r>
      </w:hyperlink>
      <w:r w:rsidRPr="001D71C1">
        <w:rPr>
          <w:color w:val="auto"/>
        </w:rPr>
        <w:t>) (with John Granger as </w:t>
      </w:r>
      <w:r w:rsidRPr="001D71C1">
        <w:rPr>
          <w:i/>
          <w:iCs/>
          <w:color w:val="auto"/>
        </w:rPr>
        <w:t>Chairman, IBM Consulting</w:t>
      </w:r>
      <w:r w:rsidRPr="001D71C1">
        <w:rPr>
          <w:color w:val="auto"/>
        </w:rPr>
        <w:t> (</w:t>
      </w:r>
      <w:hyperlink r:id="rId14" w:anchor="::text=Chairman%2C%20IBM%20Consulting" w:history="1">
        <w:r w:rsidRPr="001D71C1">
          <w:rPr>
            <w:rStyle w:val="Hyperlink"/>
            <w:b/>
            <w:bCs/>
          </w:rPr>
          <w:t>newsroom.ibm.com</w:t>
        </w:r>
      </w:hyperlink>
      <w:r w:rsidRPr="001D71C1">
        <w:rPr>
          <w:color w:val="auto"/>
        </w:rPr>
        <w:t>)) heading IBM’s global consulting organization.</w:t>
      </w:r>
    </w:p>
    <w:p w14:paraId="6868E9A4" w14:textId="77777777" w:rsidR="001D71C1" w:rsidRPr="001D71C1" w:rsidRDefault="001D71C1" w:rsidP="001D71C1">
      <w:pPr>
        <w:numPr>
          <w:ilvl w:val="0"/>
          <w:numId w:val="30"/>
        </w:numPr>
        <w:rPr>
          <w:color w:val="auto"/>
        </w:rPr>
      </w:pPr>
      <w:r w:rsidRPr="001D71C1">
        <w:rPr>
          <w:b/>
          <w:bCs/>
          <w:color w:val="auto"/>
        </w:rPr>
        <w:t>Marketing/Communications:</w:t>
      </w:r>
      <w:r w:rsidRPr="001D71C1">
        <w:rPr>
          <w:color w:val="auto"/>
        </w:rPr>
        <w:t xml:space="preserve"> Jonathan H. </w:t>
      </w:r>
      <w:proofErr w:type="spellStart"/>
      <w:r w:rsidRPr="001D71C1">
        <w:rPr>
          <w:color w:val="auto"/>
        </w:rPr>
        <w:t>Adashek</w:t>
      </w:r>
      <w:proofErr w:type="spellEnd"/>
      <w:r w:rsidRPr="001D71C1">
        <w:rPr>
          <w:color w:val="auto"/>
        </w:rPr>
        <w:t xml:space="preserve"> – SVP.</w:t>
      </w:r>
    </w:p>
    <w:p w14:paraId="1BD83111" w14:textId="77777777" w:rsidR="001D71C1" w:rsidRPr="001D71C1" w:rsidRDefault="001D71C1" w:rsidP="001D71C1">
      <w:pPr>
        <w:numPr>
          <w:ilvl w:val="0"/>
          <w:numId w:val="30"/>
        </w:numPr>
        <w:rPr>
          <w:color w:val="auto"/>
        </w:rPr>
      </w:pPr>
      <w:r w:rsidRPr="001D71C1">
        <w:rPr>
          <w:b/>
          <w:bCs/>
          <w:color w:val="auto"/>
        </w:rPr>
        <w:t>Global Markets:</w:t>
      </w:r>
      <w:r w:rsidRPr="001D71C1">
        <w:rPr>
          <w:color w:val="auto"/>
        </w:rPr>
        <w:t> Ana Paula Assis – SVP, EMEA and Growth Markets.</w:t>
      </w:r>
    </w:p>
    <w:p w14:paraId="4FDF0FA6" w14:textId="77777777" w:rsidR="001D71C1" w:rsidRPr="001D71C1" w:rsidRDefault="001D71C1" w:rsidP="001D71C1">
      <w:pPr>
        <w:numPr>
          <w:ilvl w:val="0"/>
          <w:numId w:val="30"/>
        </w:numPr>
        <w:rPr>
          <w:color w:val="auto"/>
        </w:rPr>
      </w:pPr>
      <w:r w:rsidRPr="001D71C1">
        <w:rPr>
          <w:b/>
          <w:bCs/>
          <w:color w:val="auto"/>
        </w:rPr>
        <w:t>Infrastructure:</w:t>
      </w:r>
      <w:r w:rsidRPr="001D71C1">
        <w:rPr>
          <w:color w:val="auto"/>
        </w:rPr>
        <w:t> Ric Lewis – SVP, Systems/Infrastructure.</w:t>
      </w:r>
    </w:p>
    <w:p w14:paraId="3B682F2B" w14:textId="77777777" w:rsidR="001D71C1" w:rsidRPr="001D71C1" w:rsidRDefault="001D71C1" w:rsidP="001D71C1">
      <w:pPr>
        <w:numPr>
          <w:ilvl w:val="0"/>
          <w:numId w:val="30"/>
        </w:numPr>
        <w:rPr>
          <w:color w:val="auto"/>
        </w:rPr>
      </w:pPr>
      <w:r w:rsidRPr="001D71C1">
        <w:rPr>
          <w:b/>
          <w:bCs/>
          <w:color w:val="auto"/>
        </w:rPr>
        <w:t>Software:</w:t>
      </w:r>
      <w:r w:rsidRPr="001D71C1">
        <w:rPr>
          <w:color w:val="auto"/>
        </w:rPr>
        <w:t xml:space="preserve"> Dinesh Nirmal – SVP, Software Products; </w:t>
      </w:r>
      <w:proofErr w:type="gramStart"/>
      <w:r w:rsidRPr="001D71C1">
        <w:rPr>
          <w:color w:val="auto"/>
        </w:rPr>
        <w:t>also</w:t>
      </w:r>
      <w:proofErr w:type="gramEnd"/>
      <w:r w:rsidRPr="001D71C1">
        <w:rPr>
          <w:color w:val="auto"/>
        </w:rPr>
        <w:t> </w:t>
      </w:r>
      <w:r w:rsidRPr="001D71C1">
        <w:rPr>
          <w:i/>
          <w:iCs/>
          <w:color w:val="auto"/>
        </w:rPr>
        <w:t>Rob Thomas – SVP, Software and Chief Commercial Officer</w:t>
      </w:r>
      <w:r w:rsidRPr="001D71C1">
        <w:rPr>
          <w:color w:val="auto"/>
        </w:rPr>
        <w:t>.</w:t>
      </w:r>
    </w:p>
    <w:p w14:paraId="26E652A0" w14:textId="77777777" w:rsidR="001D71C1" w:rsidRPr="001D71C1" w:rsidRDefault="001D71C1" w:rsidP="001D71C1">
      <w:pPr>
        <w:numPr>
          <w:ilvl w:val="0"/>
          <w:numId w:val="30"/>
        </w:numPr>
        <w:rPr>
          <w:color w:val="auto"/>
        </w:rPr>
      </w:pPr>
      <w:r w:rsidRPr="001D71C1">
        <w:rPr>
          <w:b/>
          <w:bCs/>
          <w:color w:val="auto"/>
        </w:rPr>
        <w:lastRenderedPageBreak/>
        <w:t>Corporate:</w:t>
      </w:r>
      <w:r w:rsidRPr="001D71C1">
        <w:rPr>
          <w:color w:val="auto"/>
        </w:rPr>
        <w:t xml:space="preserve"> Nickle </w:t>
      </w:r>
      <w:proofErr w:type="spellStart"/>
      <w:r w:rsidRPr="001D71C1">
        <w:rPr>
          <w:color w:val="auto"/>
        </w:rPr>
        <w:t>LaMoreaux</w:t>
      </w:r>
      <w:proofErr w:type="spellEnd"/>
      <w:r w:rsidRPr="001D71C1">
        <w:rPr>
          <w:color w:val="auto"/>
        </w:rPr>
        <w:t xml:space="preserve"> – SVP &amp; CHRO (Human Resources); Anne Robinson – SVP &amp; Chief Legal Officer (General Counsel); Jane Edwards – VP and Secretary; Nicolas Fehring – VP and Controller.</w:t>
      </w:r>
    </w:p>
    <w:p w14:paraId="6CFC7AF8" w14:textId="77777777" w:rsidR="001D71C1" w:rsidRPr="001D71C1" w:rsidRDefault="001D71C1" w:rsidP="001D71C1">
      <w:pPr>
        <w:numPr>
          <w:ilvl w:val="0"/>
          <w:numId w:val="30"/>
        </w:numPr>
        <w:rPr>
          <w:color w:val="auto"/>
        </w:rPr>
      </w:pPr>
      <w:r w:rsidRPr="001D71C1">
        <w:rPr>
          <w:b/>
          <w:bCs/>
          <w:color w:val="auto"/>
        </w:rPr>
        <w:t>Research:</w:t>
      </w:r>
      <w:r w:rsidRPr="001D71C1">
        <w:rPr>
          <w:color w:val="auto"/>
        </w:rPr>
        <w:t> Dr. Jay M. Gambetta – Director of IBM Research, a technical leadership role</w:t>
      </w:r>
    </w:p>
    <w:p w14:paraId="7582E7F9" w14:textId="152ADEF6" w:rsidR="00F14BBF" w:rsidRPr="00A37BFF" w:rsidRDefault="0012390F" w:rsidP="0012390F">
      <w:pPr>
        <w:rPr>
          <w:color w:val="auto"/>
        </w:rPr>
      </w:pPr>
      <w:r w:rsidRPr="00A37BFF">
        <w:rPr>
          <w:color w:val="auto"/>
        </w:rPr>
        <w:t>Adaptability: Balanced—allows global coordination yet flexible division autonomy</w:t>
      </w:r>
    </w:p>
    <w:p w14:paraId="2F3B3D65" w14:textId="77777777" w:rsidR="00C451EA" w:rsidRPr="00675BAB" w:rsidRDefault="00C451EA" w:rsidP="00C451EA">
      <w:pPr>
        <w:rPr>
          <w:b/>
          <w:bCs/>
          <w:color w:val="auto"/>
        </w:rPr>
      </w:pPr>
      <w:r w:rsidRPr="00675BAB">
        <w:rPr>
          <w:b/>
          <w:bCs/>
          <w:color w:val="auto"/>
        </w:rPr>
        <w:t>Functional Divisions</w:t>
      </w:r>
    </w:p>
    <w:p w14:paraId="33DF2851" w14:textId="0EAF260F" w:rsidR="00F14BBF" w:rsidRPr="00A37BFF" w:rsidRDefault="00C451EA" w:rsidP="00C451EA">
      <w:pPr>
        <w:rPr>
          <w:color w:val="auto"/>
        </w:rPr>
      </w:pPr>
      <w:r w:rsidRPr="00A37BFF">
        <w:rPr>
          <w:color w:val="auto"/>
        </w:rPr>
        <w:t>IBM maintains core departments such as Cloud &amp; Cognitive Software, Global Business Services, Systems, and Research. Each handles a distinct business area with dedicated leadership, allowing focused strategy and performance tracking within each segment.</w:t>
      </w:r>
    </w:p>
    <w:p w14:paraId="5510F7A0" w14:textId="77777777" w:rsidR="00C451EA" w:rsidRPr="00A37BFF" w:rsidRDefault="00C451EA" w:rsidP="00C451EA">
      <w:pPr>
        <w:rPr>
          <w:color w:val="auto"/>
        </w:rPr>
      </w:pPr>
      <w:r w:rsidRPr="00A37BFF">
        <w:rPr>
          <w:color w:val="auto"/>
        </w:rPr>
        <w:t>Organizational Chart of IBM</w:t>
      </w:r>
    </w:p>
    <w:p w14:paraId="06F8A872" w14:textId="77777777" w:rsidR="00C451EA" w:rsidRPr="00A37BFF" w:rsidRDefault="00C451EA" w:rsidP="00C451EA">
      <w:pPr>
        <w:rPr>
          <w:color w:val="auto"/>
        </w:rPr>
      </w:pPr>
      <w:r w:rsidRPr="00A37BFF">
        <w:rPr>
          <w:color w:val="auto"/>
        </w:rPr>
        <w:t>At the top is CEO Arvind Krishna, with the C-suite reporting directly to him, including the CFO, CMO, CHRO, and General Counsel. Below this, leaders of major business units—Cloud &amp; Cognitive Software; Global Business Services; Systems; and Research—report to the CEO via their respective executive vice presidents. Regional heads for North America, EMEA, and Asia-Pacific sit alongside cross-functional roles like Chief Innovation Officer.</w:t>
      </w:r>
    </w:p>
    <w:p w14:paraId="6352569E" w14:textId="77777777" w:rsidR="00980B1F" w:rsidRDefault="0011066B" w:rsidP="00980B1F">
      <w:pPr>
        <w:keepNext/>
      </w:pPr>
      <w:r w:rsidRPr="0011066B">
        <w:rPr>
          <w:noProof/>
          <w:color w:val="0070C0"/>
        </w:rPr>
        <w:lastRenderedPageBreak/>
        <w:drawing>
          <wp:inline distT="0" distB="0" distL="0" distR="0" wp14:anchorId="02AF4F4E" wp14:editId="68C01894">
            <wp:extent cx="5943600" cy="5762625"/>
            <wp:effectExtent l="0" t="0" r="0" b="9525"/>
            <wp:docPr id="1531916818" name="Picture 1" descr="A group of people's faces on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916818" name="Picture 1" descr="A group of people's faces on a computer screen&#10;&#10;AI-generated content may be incorrect."/>
                    <pic:cNvPicPr/>
                  </pic:nvPicPr>
                  <pic:blipFill>
                    <a:blip r:embed="rId15"/>
                    <a:stretch>
                      <a:fillRect/>
                    </a:stretch>
                  </pic:blipFill>
                  <pic:spPr>
                    <a:xfrm>
                      <a:off x="0" y="0"/>
                      <a:ext cx="5943600" cy="5762625"/>
                    </a:xfrm>
                    <a:prstGeom prst="rect">
                      <a:avLst/>
                    </a:prstGeom>
                  </pic:spPr>
                </pic:pic>
              </a:graphicData>
            </a:graphic>
          </wp:inline>
        </w:drawing>
      </w:r>
    </w:p>
    <w:p w14:paraId="0C62BF6F" w14:textId="3112C161" w:rsidR="00C451EA" w:rsidRDefault="00980B1F" w:rsidP="00980B1F">
      <w:pPr>
        <w:pStyle w:val="Caption"/>
        <w:jc w:val="center"/>
        <w:rPr>
          <w:color w:val="0070C0"/>
        </w:rPr>
      </w:pPr>
      <w:bookmarkStart w:id="5" w:name="_Toc213061791"/>
      <w:r>
        <w:t xml:space="preserve">Figure </w:t>
      </w:r>
      <w:r>
        <w:fldChar w:fldCharType="begin"/>
      </w:r>
      <w:r>
        <w:instrText xml:space="preserve"> SEQ Figure \* ARABIC </w:instrText>
      </w:r>
      <w:r>
        <w:fldChar w:fldCharType="separate"/>
      </w:r>
      <w:r>
        <w:rPr>
          <w:noProof/>
        </w:rPr>
        <w:t>1</w:t>
      </w:r>
      <w:r>
        <w:fldChar w:fldCharType="end"/>
      </w:r>
      <w:r>
        <w:t xml:space="preserve"> Organizational Chart of IBM</w:t>
      </w:r>
      <w:bookmarkEnd w:id="5"/>
    </w:p>
    <w:p w14:paraId="470F5331" w14:textId="76553DD5" w:rsidR="007A1AA8" w:rsidRDefault="007A1AA8" w:rsidP="00C451EA">
      <w:pPr>
        <w:rPr>
          <w:color w:val="0070C0"/>
        </w:rPr>
      </w:pPr>
      <w:r>
        <w:rPr>
          <w:color w:val="0070C0"/>
        </w:rPr>
        <w:t>Senior Leadership</w:t>
      </w:r>
    </w:p>
    <w:p w14:paraId="092ECD08"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r w:rsidRPr="00D52102">
        <w:rPr>
          <w:rFonts w:ascii="IBM Plex Sans" w:hAnsi="IBM Plex Sans"/>
          <w:color w:val="161616"/>
          <w:sz w:val="24"/>
          <w:szCs w:val="24"/>
          <w:lang w:eastAsia="en-US"/>
        </w:rPr>
        <w:t>​​​​​</w:t>
      </w:r>
      <w:hyperlink r:id="rId16" w:tgtFrame="_blank" w:history="1">
        <w:r w:rsidRPr="00D52102">
          <w:rPr>
            <w:color w:val="0F62FE"/>
            <w:u w:val="single"/>
            <w:bdr w:val="none" w:sz="0" w:space="0" w:color="auto" w:frame="1"/>
            <w:lang w:eastAsia="en-US"/>
          </w:rPr>
          <w:t>Arvind Krishna</w:t>
        </w:r>
      </w:hyperlink>
      <w:r w:rsidRPr="00D52102">
        <w:rPr>
          <w:color w:val="161616"/>
          <w:lang w:eastAsia="en-US"/>
        </w:rPr>
        <w:t>, Chairman, President and Chief Executive Officer</w:t>
      </w:r>
    </w:p>
    <w:p w14:paraId="637C5740"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17" w:tgtFrame="_blank" w:history="1">
        <w:r w:rsidRPr="00D52102">
          <w:rPr>
            <w:color w:val="0F62FE"/>
            <w:u w:val="single"/>
            <w:bdr w:val="none" w:sz="0" w:space="0" w:color="auto" w:frame="1"/>
            <w:lang w:eastAsia="en-US"/>
          </w:rPr>
          <w:t>Jonathan H. Adashek</w:t>
        </w:r>
      </w:hyperlink>
      <w:r w:rsidRPr="00D52102">
        <w:rPr>
          <w:color w:val="161616"/>
          <w:lang w:eastAsia="en-US"/>
        </w:rPr>
        <w:t>, Senior Vice President, Marketing and Communications</w:t>
      </w:r>
    </w:p>
    <w:p w14:paraId="342C224E"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18" w:tgtFrame="_blank" w:history="1">
        <w:r w:rsidRPr="00D52102">
          <w:rPr>
            <w:color w:val="0F62FE"/>
            <w:u w:val="single"/>
            <w:bdr w:val="none" w:sz="0" w:space="0" w:color="auto" w:frame="1"/>
            <w:lang w:eastAsia="en-US"/>
          </w:rPr>
          <w:t>Mohamad Ali</w:t>
        </w:r>
      </w:hyperlink>
      <w:r w:rsidRPr="00D52102">
        <w:rPr>
          <w:color w:val="161616"/>
          <w:lang w:eastAsia="en-US"/>
        </w:rPr>
        <w:t>, Senior Vice President, IBM Consulting</w:t>
      </w:r>
    </w:p>
    <w:p w14:paraId="1C2CE9A6"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19" w:tgtFrame="_blank" w:history="1">
        <w:r w:rsidRPr="00D52102">
          <w:rPr>
            <w:color w:val="0F62FE"/>
            <w:u w:val="single"/>
            <w:bdr w:val="none" w:sz="0" w:space="0" w:color="auto" w:frame="1"/>
            <w:lang w:eastAsia="en-US"/>
          </w:rPr>
          <w:t>Ana Paula Assis</w:t>
        </w:r>
      </w:hyperlink>
      <w:r w:rsidRPr="00D52102">
        <w:rPr>
          <w:color w:val="161616"/>
          <w:lang w:eastAsia="en-US"/>
        </w:rPr>
        <w:t>, Senior Vice President, EMEA and Growth Markets</w:t>
      </w:r>
    </w:p>
    <w:p w14:paraId="020C3A95"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20" w:tgtFrame="_blank" w:history="1">
        <w:r w:rsidRPr="00D52102">
          <w:rPr>
            <w:color w:val="0F62FE"/>
            <w:u w:val="single"/>
            <w:bdr w:val="none" w:sz="0" w:space="0" w:color="auto" w:frame="1"/>
            <w:lang w:eastAsia="en-US"/>
          </w:rPr>
          <w:t>Gary D. Cohn</w:t>
        </w:r>
      </w:hyperlink>
      <w:r w:rsidRPr="00D52102">
        <w:rPr>
          <w:color w:val="161616"/>
          <w:lang w:eastAsia="en-US"/>
        </w:rPr>
        <w:t>, Vice Chairman</w:t>
      </w:r>
    </w:p>
    <w:p w14:paraId="2A301F3A" w14:textId="77777777" w:rsidR="00D52102" w:rsidRPr="00D52102" w:rsidRDefault="00D52102" w:rsidP="00D52102">
      <w:pPr>
        <w:numPr>
          <w:ilvl w:val="0"/>
          <w:numId w:val="4"/>
        </w:numPr>
        <w:shd w:val="clear" w:color="auto" w:fill="FFFFFF"/>
        <w:tabs>
          <w:tab w:val="clear" w:pos="360"/>
        </w:tabs>
        <w:spacing w:before="100" w:beforeAutospacing="1" w:after="100" w:afterAutospacing="1" w:line="360" w:lineRule="atLeast"/>
        <w:ind w:left="0" w:firstLine="0"/>
        <w:textAlignment w:val="baseline"/>
        <w:rPr>
          <w:color w:val="161616"/>
          <w:lang w:eastAsia="en-US"/>
        </w:rPr>
      </w:pPr>
      <w:r w:rsidRPr="00D52102">
        <w:rPr>
          <w:color w:val="161616"/>
          <w:lang w:eastAsia="en-US"/>
        </w:rPr>
        <w:t>Jane P. Edwards, Vice President, Assistant General Counsel and Secretary</w:t>
      </w:r>
    </w:p>
    <w:p w14:paraId="132AB749" w14:textId="77777777" w:rsidR="00D52102" w:rsidRPr="00D52102" w:rsidRDefault="00D52102" w:rsidP="00D52102">
      <w:pPr>
        <w:numPr>
          <w:ilvl w:val="0"/>
          <w:numId w:val="4"/>
        </w:numPr>
        <w:shd w:val="clear" w:color="auto" w:fill="FFFFFF"/>
        <w:tabs>
          <w:tab w:val="clear" w:pos="360"/>
        </w:tabs>
        <w:spacing w:before="100" w:beforeAutospacing="1" w:after="100" w:afterAutospacing="1" w:line="360" w:lineRule="atLeast"/>
        <w:ind w:left="0" w:firstLine="0"/>
        <w:textAlignment w:val="baseline"/>
        <w:rPr>
          <w:color w:val="161616"/>
          <w:lang w:eastAsia="en-US"/>
        </w:rPr>
      </w:pPr>
      <w:r w:rsidRPr="00D52102">
        <w:rPr>
          <w:color w:val="161616"/>
          <w:lang w:eastAsia="en-US"/>
        </w:rPr>
        <w:t>Nicolas A. Fehring, Vice President and Controller</w:t>
      </w:r>
    </w:p>
    <w:p w14:paraId="68C63360"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21" w:history="1">
        <w:r w:rsidRPr="00D52102">
          <w:rPr>
            <w:color w:val="0F62FE"/>
            <w:u w:val="single"/>
            <w:bdr w:val="none" w:sz="0" w:space="0" w:color="auto" w:frame="1"/>
            <w:lang w:eastAsia="en-US"/>
          </w:rPr>
          <w:t>Dr. Jay M. Gambetta</w:t>
        </w:r>
      </w:hyperlink>
      <w:r w:rsidRPr="00D52102">
        <w:rPr>
          <w:color w:val="161616"/>
          <w:lang w:eastAsia="en-US"/>
        </w:rPr>
        <w:t>, Director, Research</w:t>
      </w:r>
    </w:p>
    <w:p w14:paraId="16ADCB23"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22" w:tgtFrame="_blank" w:history="1">
        <w:r w:rsidRPr="00D52102">
          <w:rPr>
            <w:color w:val="0F62FE"/>
            <w:u w:val="single"/>
            <w:bdr w:val="none" w:sz="0" w:space="0" w:color="auto" w:frame="1"/>
            <w:lang w:eastAsia="en-US"/>
          </w:rPr>
          <w:t>John Granger</w:t>
        </w:r>
      </w:hyperlink>
      <w:r w:rsidRPr="00D52102">
        <w:rPr>
          <w:color w:val="161616"/>
          <w:lang w:eastAsia="en-US"/>
        </w:rPr>
        <w:t>, Chairman, IBM Consulting</w:t>
      </w:r>
    </w:p>
    <w:p w14:paraId="2456A85A"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23" w:tgtFrame="_blank" w:history="1">
        <w:r w:rsidRPr="00D52102">
          <w:rPr>
            <w:color w:val="0F62FE"/>
            <w:u w:val="single"/>
            <w:bdr w:val="none" w:sz="0" w:space="0" w:color="auto" w:frame="1"/>
            <w:lang w:eastAsia="en-US"/>
          </w:rPr>
          <w:t>James J. Kavanaugh</w:t>
        </w:r>
      </w:hyperlink>
      <w:r w:rsidRPr="00D52102">
        <w:rPr>
          <w:color w:val="161616"/>
          <w:lang w:eastAsia="en-US"/>
        </w:rPr>
        <w:t>, Senior Vice President and Chief Financial Officer</w:t>
      </w:r>
    </w:p>
    <w:p w14:paraId="2B8545BC"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24" w:tgtFrame="_blank" w:history="1">
        <w:r w:rsidRPr="00D52102">
          <w:rPr>
            <w:color w:val="0F62FE"/>
            <w:u w:val="single"/>
            <w:bdr w:val="none" w:sz="0" w:space="0" w:color="auto" w:frame="1"/>
            <w:lang w:eastAsia="en-US"/>
          </w:rPr>
          <w:t xml:space="preserve">Nickle J. </w:t>
        </w:r>
        <w:proofErr w:type="spellStart"/>
        <w:r w:rsidRPr="00D52102">
          <w:rPr>
            <w:color w:val="0F62FE"/>
            <w:u w:val="single"/>
            <w:bdr w:val="none" w:sz="0" w:space="0" w:color="auto" w:frame="1"/>
            <w:lang w:eastAsia="en-US"/>
          </w:rPr>
          <w:t>LaMoreaux</w:t>
        </w:r>
        <w:proofErr w:type="spellEnd"/>
      </w:hyperlink>
      <w:r w:rsidRPr="00D52102">
        <w:rPr>
          <w:color w:val="161616"/>
          <w:lang w:eastAsia="en-US"/>
        </w:rPr>
        <w:t>, Senior Vice President and Chief Human Resources Officer</w:t>
      </w:r>
    </w:p>
    <w:p w14:paraId="32D10A40"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25" w:tgtFrame="_blank" w:history="1">
        <w:r w:rsidRPr="00D52102">
          <w:rPr>
            <w:color w:val="0F62FE"/>
            <w:u w:val="single"/>
            <w:bdr w:val="none" w:sz="0" w:space="0" w:color="auto" w:frame="1"/>
            <w:lang w:eastAsia="en-US"/>
          </w:rPr>
          <w:t>Ric Lewis</w:t>
        </w:r>
      </w:hyperlink>
      <w:r w:rsidRPr="00D52102">
        <w:rPr>
          <w:color w:val="161616"/>
          <w:lang w:eastAsia="en-US"/>
        </w:rPr>
        <w:t>, Senior Vice President, Infrastructure</w:t>
      </w:r>
    </w:p>
    <w:p w14:paraId="188301A2"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26" w:tgtFrame="_blank" w:history="1">
        <w:r w:rsidRPr="00D52102">
          <w:rPr>
            <w:color w:val="0F62FE"/>
            <w:u w:val="single"/>
            <w:bdr w:val="none" w:sz="0" w:space="0" w:color="auto" w:frame="1"/>
            <w:lang w:eastAsia="en-US"/>
          </w:rPr>
          <w:t>Dinesh Nirmal</w:t>
        </w:r>
      </w:hyperlink>
      <w:r w:rsidRPr="00D52102">
        <w:rPr>
          <w:color w:val="161616"/>
          <w:lang w:eastAsia="en-US"/>
        </w:rPr>
        <w:t>, Senior Vice President, Software Products</w:t>
      </w:r>
    </w:p>
    <w:p w14:paraId="74E26928"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27" w:tgtFrame="_blank" w:history="1">
        <w:r w:rsidRPr="00D52102">
          <w:rPr>
            <w:color w:val="0F62FE"/>
            <w:u w:val="single"/>
            <w:bdr w:val="none" w:sz="0" w:space="0" w:color="auto" w:frame="1"/>
            <w:lang w:eastAsia="en-US"/>
          </w:rPr>
          <w:t>Anne E. Robinson</w:t>
        </w:r>
      </w:hyperlink>
      <w:r w:rsidRPr="00D52102">
        <w:rPr>
          <w:color w:val="161616"/>
          <w:lang w:eastAsia="en-US"/>
        </w:rPr>
        <w:t>, Senior Vice President and Chief Legal Officer</w:t>
      </w:r>
    </w:p>
    <w:p w14:paraId="2CE92469"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28" w:tgtFrame="_blank" w:history="1">
        <w:r w:rsidRPr="00D52102">
          <w:rPr>
            <w:color w:val="0F62FE"/>
            <w:u w:val="single"/>
            <w:bdr w:val="none" w:sz="0" w:space="0" w:color="auto" w:frame="1"/>
            <w:lang w:eastAsia="en-US"/>
          </w:rPr>
          <w:t>Alexander F. Stern</w:t>
        </w:r>
      </w:hyperlink>
      <w:r w:rsidRPr="00D52102">
        <w:rPr>
          <w:color w:val="161616"/>
          <w:lang w:eastAsia="en-US"/>
        </w:rPr>
        <w:t>, Senior Vice President, Strategy and M&amp;A</w:t>
      </w:r>
    </w:p>
    <w:p w14:paraId="072693CF"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29" w:tgtFrame="_blank" w:history="1">
        <w:r w:rsidRPr="00D52102">
          <w:rPr>
            <w:color w:val="0F62FE"/>
            <w:u w:val="single"/>
            <w:bdr w:val="none" w:sz="0" w:space="0" w:color="auto" w:frame="1"/>
            <w:lang w:eastAsia="en-US"/>
          </w:rPr>
          <w:t>Robert D. Thomas</w:t>
        </w:r>
      </w:hyperlink>
      <w:r w:rsidRPr="00D52102">
        <w:rPr>
          <w:color w:val="161616"/>
          <w:lang w:eastAsia="en-US"/>
        </w:rPr>
        <w:t>, Senior Vice President, Software and Chief Commercial Officer</w:t>
      </w:r>
    </w:p>
    <w:p w14:paraId="6E01207F" w14:textId="77777777" w:rsidR="00D52102" w:rsidRPr="00D52102" w:rsidRDefault="00D52102" w:rsidP="00D52102">
      <w:pPr>
        <w:numPr>
          <w:ilvl w:val="0"/>
          <w:numId w:val="4"/>
        </w:numPr>
        <w:shd w:val="clear" w:color="auto" w:fill="FFFFFF"/>
        <w:tabs>
          <w:tab w:val="clear" w:pos="360"/>
        </w:tabs>
        <w:spacing w:before="100" w:beforeAutospacing="1" w:after="100" w:afterAutospacing="1" w:line="360" w:lineRule="atLeast"/>
        <w:ind w:left="0" w:firstLine="0"/>
        <w:textAlignment w:val="baseline"/>
        <w:rPr>
          <w:color w:val="161616"/>
          <w:lang w:eastAsia="en-US"/>
        </w:rPr>
      </w:pPr>
      <w:r w:rsidRPr="00D52102">
        <w:rPr>
          <w:color w:val="161616"/>
          <w:lang w:eastAsia="en-US"/>
        </w:rPr>
        <w:t>Brien Wierzchowski, Vice President and Treasurer</w:t>
      </w:r>
    </w:p>
    <w:p w14:paraId="3C48A019" w14:textId="77777777" w:rsidR="00D52102" w:rsidRPr="00D52102" w:rsidRDefault="00D52102" w:rsidP="00D52102">
      <w:pPr>
        <w:numPr>
          <w:ilvl w:val="0"/>
          <w:numId w:val="4"/>
        </w:numPr>
        <w:shd w:val="clear" w:color="auto" w:fill="FFFFFF"/>
        <w:tabs>
          <w:tab w:val="clear" w:pos="360"/>
        </w:tabs>
        <w:spacing w:before="0" w:beforeAutospacing="1" w:after="0" w:afterAutospacing="1" w:line="360" w:lineRule="atLeast"/>
        <w:ind w:left="0" w:firstLine="0"/>
        <w:textAlignment w:val="baseline"/>
        <w:rPr>
          <w:color w:val="161616"/>
          <w:lang w:eastAsia="en-US"/>
        </w:rPr>
      </w:pPr>
      <w:hyperlink r:id="rId30" w:tgtFrame="_blank" w:history="1">
        <w:r w:rsidRPr="00D52102">
          <w:rPr>
            <w:color w:val="0F62FE"/>
            <w:u w:val="single"/>
            <w:bdr w:val="none" w:sz="0" w:space="0" w:color="auto" w:frame="1"/>
            <w:lang w:eastAsia="en-US"/>
          </w:rPr>
          <w:t>Joanne Wright</w:t>
        </w:r>
      </w:hyperlink>
      <w:r w:rsidRPr="00D52102">
        <w:rPr>
          <w:color w:val="161616"/>
          <w:lang w:eastAsia="en-US"/>
        </w:rPr>
        <w:t>, Senior Vice President, Transformation and Operations</w:t>
      </w:r>
    </w:p>
    <w:p w14:paraId="6CDF4B9B" w14:textId="04E2427E" w:rsidR="0003296E" w:rsidRDefault="00D52102" w:rsidP="0003296E">
      <w:pPr>
        <w:numPr>
          <w:ilvl w:val="0"/>
          <w:numId w:val="4"/>
        </w:numPr>
        <w:shd w:val="clear" w:color="auto" w:fill="FFFFFF"/>
        <w:tabs>
          <w:tab w:val="clear" w:pos="360"/>
        </w:tabs>
        <w:spacing w:before="0" w:after="0" w:line="360" w:lineRule="atLeast"/>
        <w:ind w:left="0" w:firstLine="0"/>
        <w:textAlignment w:val="baseline"/>
        <w:rPr>
          <w:color w:val="161616"/>
          <w:lang w:eastAsia="en-US"/>
        </w:rPr>
      </w:pPr>
      <w:hyperlink r:id="rId31" w:tgtFrame="_blank" w:history="1">
        <w:r w:rsidRPr="00D52102">
          <w:rPr>
            <w:color w:val="0F62FE"/>
            <w:u w:val="single"/>
            <w:bdr w:val="none" w:sz="0" w:space="0" w:color="auto" w:frame="1"/>
            <w:lang w:eastAsia="en-US"/>
          </w:rPr>
          <w:t xml:space="preserve">Kareem Yusuf, </w:t>
        </w:r>
        <w:proofErr w:type="spellStart"/>
        <w:r w:rsidRPr="00D52102">
          <w:rPr>
            <w:color w:val="0F62FE"/>
            <w:u w:val="single"/>
            <w:bdr w:val="none" w:sz="0" w:space="0" w:color="auto" w:frame="1"/>
            <w:lang w:eastAsia="en-US"/>
          </w:rPr>
          <w:t>Ph.D</w:t>
        </w:r>
        <w:proofErr w:type="spellEnd"/>
      </w:hyperlink>
      <w:r w:rsidRPr="00D52102">
        <w:rPr>
          <w:color w:val="161616"/>
          <w:lang w:eastAsia="en-US"/>
        </w:rPr>
        <w:t>, Senior Vice President, Ecosystem, Strategic Partners and Initiatives</w:t>
      </w:r>
    </w:p>
    <w:p w14:paraId="4356CAA2" w14:textId="31F7666E" w:rsidR="00C451EA" w:rsidRPr="007D418B" w:rsidRDefault="00C451EA" w:rsidP="00C451EA">
      <w:pPr>
        <w:rPr>
          <w:b/>
          <w:bCs/>
          <w:color w:val="auto"/>
        </w:rPr>
      </w:pPr>
      <w:r w:rsidRPr="007D418B">
        <w:rPr>
          <w:b/>
          <w:bCs/>
          <w:color w:val="auto"/>
        </w:rPr>
        <w:t>Why IBM’s Structure Works</w:t>
      </w:r>
    </w:p>
    <w:p w14:paraId="29D72962" w14:textId="77777777" w:rsidR="00BC7D75" w:rsidRPr="00BC7D75" w:rsidRDefault="00BC7D75" w:rsidP="00A37BFF">
      <w:pPr>
        <w:rPr>
          <w:color w:val="auto"/>
        </w:rPr>
      </w:pPr>
      <w:r w:rsidRPr="00BC7D75">
        <w:rPr>
          <w:color w:val="auto"/>
        </w:rPr>
        <w:t>IBM is known to operate with what is known as a product-type divisional organizational structure. In this type of structure, the business processes involved in managing the development, production, distribution, and sale of products are heavily represented. This type of structure enables IBM to support strategies and tactics that enable competitive products and is fundamental to enabling the technology giant to dominate the market in key product areas. Within IBM’s product-type divisional structure are various product-type, function-based, and geographical divisions that support the core business offerings, key functions, and main regional markets of the business. </w:t>
      </w:r>
    </w:p>
    <w:p w14:paraId="0B0B61CF" w14:textId="73A8835D" w:rsidR="0012390F" w:rsidRPr="00A37BFF" w:rsidRDefault="00C451EA" w:rsidP="00BC7D75">
      <w:pPr>
        <w:pStyle w:val="ListParagraph"/>
        <w:numPr>
          <w:ilvl w:val="0"/>
          <w:numId w:val="28"/>
        </w:numPr>
        <w:rPr>
          <w:color w:val="auto"/>
        </w:rPr>
      </w:pPr>
      <w:r w:rsidRPr="00A37BFF">
        <w:rPr>
          <w:color w:val="auto"/>
        </w:rPr>
        <w:t>IBM’s structure enables centralized leadership while supporting global, diverse operations.</w:t>
      </w:r>
    </w:p>
    <w:p w14:paraId="65466A73" w14:textId="77777777" w:rsidR="00A91F80" w:rsidRPr="00A37BFF" w:rsidRDefault="00A91F80" w:rsidP="00BC7D75">
      <w:pPr>
        <w:pStyle w:val="ListParagraph"/>
        <w:numPr>
          <w:ilvl w:val="0"/>
          <w:numId w:val="28"/>
        </w:numPr>
        <w:rPr>
          <w:color w:val="auto"/>
        </w:rPr>
      </w:pPr>
      <w:r w:rsidRPr="00A37BFF">
        <w:rPr>
          <w:color w:val="auto"/>
        </w:rPr>
        <w:t>It allows centralized control, ensuring consistent strategic direction.</w:t>
      </w:r>
    </w:p>
    <w:p w14:paraId="596EB908" w14:textId="77777777" w:rsidR="00A91F80" w:rsidRPr="00A37BFF" w:rsidRDefault="00A91F80" w:rsidP="00BC7D75">
      <w:pPr>
        <w:pStyle w:val="ListParagraph"/>
        <w:numPr>
          <w:ilvl w:val="0"/>
          <w:numId w:val="28"/>
        </w:numPr>
        <w:rPr>
          <w:color w:val="auto"/>
        </w:rPr>
      </w:pPr>
      <w:r w:rsidRPr="00A37BFF">
        <w:rPr>
          <w:color w:val="auto"/>
        </w:rPr>
        <w:t>The matrix format supports diverse operations, balancing global and local needs.</w:t>
      </w:r>
    </w:p>
    <w:p w14:paraId="6C4735D2" w14:textId="77777777" w:rsidR="00BC7D75" w:rsidRPr="00BC7D75" w:rsidRDefault="00BC7D75" w:rsidP="00A37BFF">
      <w:pPr>
        <w:rPr>
          <w:color w:val="auto"/>
        </w:rPr>
      </w:pPr>
      <w:r w:rsidRPr="00BC7D75">
        <w:rPr>
          <w:color w:val="auto"/>
        </w:rPr>
        <w:t>IBM’s product-type divisions represent IBM’s core offerings and include Technology Services &amp; Cloud Platforms, Systems, and Global Business Services. Function-based divisions focus on key functions that provide organization-wide support for each of the product-type divisions and include Global Markets and Research, Development, and Intellectual Property. Finally, IBM’s geographic divisions manage the unique and location-specific needs of different regional markets such as Asia Pacific.</w:t>
      </w:r>
    </w:p>
    <w:p w14:paraId="23A8FEEA" w14:textId="77777777" w:rsidR="00BC7D75" w:rsidRPr="00A37BFF" w:rsidRDefault="00BC7D75" w:rsidP="00BC7D75">
      <w:pPr>
        <w:pStyle w:val="ListParagraph"/>
        <w:numPr>
          <w:ilvl w:val="0"/>
          <w:numId w:val="29"/>
        </w:numPr>
        <w:rPr>
          <w:color w:val="auto"/>
        </w:rPr>
      </w:pPr>
      <w:r w:rsidRPr="00A37BFF">
        <w:rPr>
          <w:color w:val="auto"/>
        </w:rPr>
        <w:t>Project-based units enable quick decision-making and adaptability.</w:t>
      </w:r>
    </w:p>
    <w:p w14:paraId="5DAB21AF" w14:textId="0424A0F1" w:rsidR="00BC7D75" w:rsidRPr="00A37BFF" w:rsidRDefault="00BC7D75" w:rsidP="00A91F80">
      <w:pPr>
        <w:pStyle w:val="ListParagraph"/>
        <w:numPr>
          <w:ilvl w:val="0"/>
          <w:numId w:val="29"/>
        </w:numPr>
        <w:rPr>
          <w:color w:val="auto"/>
        </w:rPr>
      </w:pPr>
      <w:r w:rsidRPr="00A37BFF">
        <w:rPr>
          <w:color w:val="auto"/>
        </w:rPr>
        <w:t>Defined roles and reporting promote accountability, especially in innovation-heavy areas.</w:t>
      </w:r>
    </w:p>
    <w:p w14:paraId="2DA2EA8D" w14:textId="6D54EF4F" w:rsidR="00A91F80" w:rsidRPr="00A37BFF" w:rsidRDefault="00A91F80" w:rsidP="00A91F80">
      <w:pPr>
        <w:rPr>
          <w:color w:val="auto"/>
        </w:rPr>
      </w:pPr>
      <w:r w:rsidRPr="00A37BFF">
        <w:rPr>
          <w:color w:val="auto"/>
        </w:rPr>
        <w:t xml:space="preserve">IBM’s organizational structure blends functional focus with regional flexibility, enabling it to manage innovation and global services efficiently. The matrix setup supports both top-down leadership and agile team dynamics. </w:t>
      </w:r>
    </w:p>
    <w:p w14:paraId="699417A1" w14:textId="5E0CFB90" w:rsidR="0012390F" w:rsidRPr="00A37BFF" w:rsidRDefault="00A91F80" w:rsidP="00A91F80">
      <w:pPr>
        <w:rPr>
          <w:color w:val="auto"/>
        </w:rPr>
      </w:pPr>
      <w:r w:rsidRPr="00A37BFF">
        <w:rPr>
          <w:color w:val="auto"/>
        </w:rPr>
        <w:lastRenderedPageBreak/>
        <w:t>This hybrid approach helps IBM stay competitive in evolving tech markets by aligning with a forward-thinking business model. IBM’s organizational structure reflects its ambition to innovate globally, ensuring alignment between leadership and operations.</w:t>
      </w:r>
    </w:p>
    <w:p w14:paraId="07B4E683" w14:textId="3E0B17B5" w:rsidR="001C1FCB" w:rsidRPr="00A37BFF" w:rsidRDefault="001C1FCB" w:rsidP="00A91F80">
      <w:pPr>
        <w:rPr>
          <w:color w:val="auto"/>
        </w:rPr>
      </w:pPr>
      <w:r w:rsidRPr="00A37BFF">
        <w:rPr>
          <w:b/>
          <w:bCs/>
          <w:color w:val="auto"/>
        </w:rPr>
        <w:t>Quality Assurance and Testing Team</w:t>
      </w:r>
      <w:r w:rsidRPr="00A37BFF">
        <w:rPr>
          <w:color w:val="auto"/>
        </w:rPr>
        <w:t xml:space="preserve"> </w:t>
      </w:r>
    </w:p>
    <w:p w14:paraId="56D84C54" w14:textId="71CE6DF7" w:rsidR="00DB0A82" w:rsidRDefault="00980B1F" w:rsidP="00A91F80">
      <w:pPr>
        <w:rPr>
          <w:color w:val="auto"/>
        </w:rPr>
      </w:pPr>
      <w:r>
        <w:rPr>
          <w:noProof/>
        </w:rPr>
        <mc:AlternateContent>
          <mc:Choice Requires="wps">
            <w:drawing>
              <wp:anchor distT="0" distB="0" distL="114300" distR="114300" simplePos="0" relativeHeight="251658241" behindDoc="0" locked="0" layoutInCell="1" allowOverlap="1" wp14:anchorId="690375B3" wp14:editId="707AB2B5">
                <wp:simplePos x="0" y="0"/>
                <wp:positionH relativeFrom="column">
                  <wp:posOffset>-1905</wp:posOffset>
                </wp:positionH>
                <wp:positionV relativeFrom="paragraph">
                  <wp:posOffset>4784725</wp:posOffset>
                </wp:positionV>
                <wp:extent cx="5943600" cy="635"/>
                <wp:effectExtent l="0" t="0" r="0" b="12065"/>
                <wp:wrapTopAndBottom/>
                <wp:docPr id="613081601" name="Text Box 1"/>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6CBB94D8" w14:textId="345E8618" w:rsidR="00980B1F" w:rsidRPr="00096789" w:rsidRDefault="00980B1F" w:rsidP="00980B1F">
                            <w:pPr>
                              <w:pStyle w:val="Caption"/>
                              <w:jc w:val="center"/>
                              <w:rPr>
                                <w:noProof/>
                                <w:color w:val="161616"/>
                                <w:sz w:val="22"/>
                                <w:szCs w:val="22"/>
                                <w:lang w:eastAsia="en-US"/>
                              </w:rPr>
                            </w:pPr>
                            <w:bookmarkStart w:id="6" w:name="_Toc213061792"/>
                            <w:r>
                              <w:t xml:space="preserve">Figure </w:t>
                            </w:r>
                            <w:r>
                              <w:fldChar w:fldCharType="begin"/>
                            </w:r>
                            <w:r>
                              <w:instrText xml:space="preserve"> SEQ Figure \* ARABIC </w:instrText>
                            </w:r>
                            <w:r>
                              <w:fldChar w:fldCharType="separate"/>
                            </w:r>
                            <w:r>
                              <w:rPr>
                                <w:noProof/>
                              </w:rPr>
                              <w:t>2</w:t>
                            </w:r>
                            <w:r>
                              <w:fldChar w:fldCharType="end"/>
                            </w:r>
                            <w:r>
                              <w:t xml:space="preserve"> IBM Consulting Services Organization - June 1, 2025</w:t>
                            </w:r>
                            <w:bookmarkEnd w:id="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90375B3" id="_x0000_t202" coordsize="21600,21600" o:spt="202" path="m,l,21600r21600,l21600,xe">
                <v:stroke joinstyle="miter"/>
                <v:path gradientshapeok="t" o:connecttype="rect"/>
              </v:shapetype>
              <v:shape id="Text Box 1" o:spid="_x0000_s1026" type="#_x0000_t202" style="position:absolute;margin-left:-.15pt;margin-top:376.75pt;width:468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I//FgIAADgEAAAOAAAAZHJzL2Uyb0RvYy54bWysU8Fu2zAMvQ/YPwi6L07aNViNOEWWIsOA&#10;oi2QDj0rshwLkEWNUmJnXz9KtpOt22nYRaZF6lF872lx1zWGHRV6Dbbgs8mUM2UllNruC/7tZfPh&#10;E2c+CFsKA1YV/KQ8v1u+f7doXa6uoAZTKmQEYn3euoLXIbg8y7ysVSP8BJyylKwAGxHoF/dZiaIl&#10;9MZkV9PpPGsBS4cglfe0e98n+TLhV5WS4amqvArMFJzuFtKKad3FNVsuRL5H4Woth2uIf7hFI7Sl&#10;pmeoexEEO6D+A6rREsFDFSYSmgyqSkuVZqBpZtM302xr4VSahcjx7kyT/3+w8vG4dc/IQvcZOhIw&#10;EtI6n3vajPN0FTbxSzdllCcKT2faVBeYpM2b24/X8ymlJOXm1zcRI7scdejDFwUNi0HBkTRJVInj&#10;gw996VgSO3kwutxoY+JPTKwNsqMg/dpaBzWA/1ZlbKy1EE/1gHEnu8wRo9DtumG4HZQnmhmht4N3&#10;cqOp0YPw4Vkg6U+zkKfDEy2VgbbgMESc1YA//rYf60kWynLWkp8K7r8fBCrOzFdLgkXzjQGOwW4M&#10;7KFZA404o9fiZArpAAYzhhVC80pWX8UulBJWUq+ChzFch97V9FSkWq1SEVnMifBgt05G6JHQl+5V&#10;oBvkCKTiI4xOE/kbVfrapItbHQJRnCSLhPYsDjyTPZPow1OK/v/1P1VdHvzyJwAAAP//AwBQSwME&#10;FAAGAAgAAAAhABNtZDfgAAAACQEAAA8AAABkcnMvZG93bnJldi54bWxMj8FOwzAQRO9I/IO1SFxQ&#10;60CaFEKcqqrgQC8VoRdubryNA/E6sp02/D2GCxxnZzTztlxNpmcndL6zJOB2ngBDaqzqqBWwf3ue&#10;3QPzQZKSvSUU8IUeVtXlRSkLZc/0iqc6tCyWkC+kAB3CUHDuG41G+rkdkKJ3tM7IEKVruXLyHMtN&#10;z++SJOdGdhQXtBxwo7H5rEcjYLd43+mb8fi0XS9S97IfN/lHWwtxfTWtH4EFnMJfGH7wIzpUkelg&#10;R1Ke9QJmaQwKWGZpBiz6D2m2BHb4veTAq5L//6D6BgAA//8DAFBLAQItABQABgAIAAAAIQC2gziS&#10;/gAAAOEBAAATAAAAAAAAAAAAAAAAAAAAAABbQ29udGVudF9UeXBlc10ueG1sUEsBAi0AFAAGAAgA&#10;AAAhADj9If/WAAAAlAEAAAsAAAAAAAAAAAAAAAAALwEAAF9yZWxzLy5yZWxzUEsBAi0AFAAGAAgA&#10;AAAhAFScj/8WAgAAOAQAAA4AAAAAAAAAAAAAAAAALgIAAGRycy9lMm9Eb2MueG1sUEsBAi0AFAAG&#10;AAgAAAAhABNtZDfgAAAACQEAAA8AAAAAAAAAAAAAAAAAcAQAAGRycy9kb3ducmV2LnhtbFBLBQYA&#10;AAAABAAEAPMAAAB9BQAAAAA=&#10;" stroked="f">
                <v:textbox style="mso-fit-shape-to-text:t" inset="0,0,0,0">
                  <w:txbxContent>
                    <w:p w14:paraId="6CBB94D8" w14:textId="345E8618" w:rsidR="00980B1F" w:rsidRPr="00096789" w:rsidRDefault="00980B1F" w:rsidP="00980B1F">
                      <w:pPr>
                        <w:pStyle w:val="Caption"/>
                        <w:jc w:val="center"/>
                        <w:rPr>
                          <w:noProof/>
                          <w:color w:val="161616"/>
                          <w:sz w:val="22"/>
                          <w:szCs w:val="22"/>
                          <w:lang w:eastAsia="en-US"/>
                        </w:rPr>
                      </w:pPr>
                      <w:bookmarkStart w:id="7" w:name="_Toc213061792"/>
                      <w:r>
                        <w:t xml:space="preserve">Figure </w:t>
                      </w:r>
                      <w:r>
                        <w:fldChar w:fldCharType="begin"/>
                      </w:r>
                      <w:r>
                        <w:instrText xml:space="preserve"> SEQ Figure \* ARABIC </w:instrText>
                      </w:r>
                      <w:r>
                        <w:fldChar w:fldCharType="separate"/>
                      </w:r>
                      <w:r>
                        <w:rPr>
                          <w:noProof/>
                        </w:rPr>
                        <w:t>2</w:t>
                      </w:r>
                      <w:r>
                        <w:fldChar w:fldCharType="end"/>
                      </w:r>
                      <w:r>
                        <w:t xml:space="preserve"> IBM Consulting Services Organization - June 1, 2025</w:t>
                      </w:r>
                      <w:bookmarkEnd w:id="7"/>
                    </w:p>
                  </w:txbxContent>
                </v:textbox>
                <w10:wrap type="topAndBottom"/>
              </v:shape>
            </w:pict>
          </mc:Fallback>
        </mc:AlternateContent>
      </w:r>
      <w:r w:rsidR="00E63B3D" w:rsidRPr="008A7903">
        <w:rPr>
          <w:noProof/>
          <w:color w:val="161616"/>
          <w:lang w:eastAsia="en-US"/>
        </w:rPr>
        <w:drawing>
          <wp:anchor distT="0" distB="0" distL="114300" distR="114300" simplePos="0" relativeHeight="251658240" behindDoc="0" locked="0" layoutInCell="1" allowOverlap="1" wp14:anchorId="7D523254" wp14:editId="167DEE14">
            <wp:simplePos x="0" y="0"/>
            <wp:positionH relativeFrom="column">
              <wp:posOffset>-1960</wp:posOffset>
            </wp:positionH>
            <wp:positionV relativeFrom="paragraph">
              <wp:posOffset>1675572</wp:posOffset>
            </wp:positionV>
            <wp:extent cx="5943600" cy="3052445"/>
            <wp:effectExtent l="0" t="0" r="0" b="0"/>
            <wp:wrapTopAndBottom/>
            <wp:docPr id="1059379448" name="Picture 2" descr="A computer screen shot of a organization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573312" name="Picture 2" descr="A computer screen shot of a organization chart&#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3052445"/>
                    </a:xfrm>
                    <a:prstGeom prst="rect">
                      <a:avLst/>
                    </a:prstGeom>
                    <a:noFill/>
                    <a:ln>
                      <a:noFill/>
                    </a:ln>
                  </pic:spPr>
                </pic:pic>
              </a:graphicData>
            </a:graphic>
          </wp:anchor>
        </w:drawing>
      </w:r>
      <w:r w:rsidR="00AE6837" w:rsidRPr="00AE6837">
        <w:rPr>
          <w:color w:val="auto"/>
        </w:rPr>
        <w:t xml:space="preserve">Quality assurance work in IBM is typically part of broader units: IBM Consulting provides quality engineering/testing as part of its client services, and IBM’s product groups include QA teams as functions of engineering organizations. Mohamad Ali (SVP, Consulting) and John Granger (Consulting Chairman) oversee IBM’s consulting/delivery services (www.ibm.com) (newsroom.ibm.com), </w:t>
      </w:r>
      <w:r w:rsidR="008B465D">
        <w:rPr>
          <w:color w:val="auto"/>
        </w:rPr>
        <w:t>where our</w:t>
      </w:r>
      <w:r w:rsidR="00AE6837" w:rsidRPr="00AE6837">
        <w:rPr>
          <w:color w:val="auto"/>
        </w:rPr>
        <w:t xml:space="preserve"> QA Services </w:t>
      </w:r>
      <w:r w:rsidR="00AE6837">
        <w:rPr>
          <w:color w:val="auto"/>
        </w:rPr>
        <w:t>are</w:t>
      </w:r>
      <w:r w:rsidR="00AE6837" w:rsidRPr="00AE6837">
        <w:rPr>
          <w:color w:val="auto"/>
        </w:rPr>
        <w:t xml:space="preserve"> aligned </w:t>
      </w:r>
      <w:r w:rsidR="008B465D">
        <w:rPr>
          <w:color w:val="auto"/>
        </w:rPr>
        <w:t>and</w:t>
      </w:r>
      <w:r w:rsidR="00AE6837" w:rsidRPr="00AE6837">
        <w:rPr>
          <w:color w:val="auto"/>
        </w:rPr>
        <w:t xml:space="preserve"> delivered as professional services. Alternatively, our QA</w:t>
      </w:r>
      <w:r w:rsidR="00047F37">
        <w:rPr>
          <w:color w:val="auto"/>
        </w:rPr>
        <w:t>/QE</w:t>
      </w:r>
      <w:r w:rsidR="00AE6837" w:rsidRPr="00AE6837">
        <w:rPr>
          <w:color w:val="auto"/>
        </w:rPr>
        <w:t xml:space="preserve"> Services</w:t>
      </w:r>
      <w:r w:rsidR="00047F37">
        <w:rPr>
          <w:color w:val="auto"/>
        </w:rPr>
        <w:t xml:space="preserve"> are</w:t>
      </w:r>
      <w:r w:rsidR="00AE6837" w:rsidRPr="00AE6837">
        <w:rPr>
          <w:color w:val="auto"/>
        </w:rPr>
        <w:t xml:space="preserve"> </w:t>
      </w:r>
      <w:r w:rsidR="008B465D">
        <w:rPr>
          <w:color w:val="auto"/>
        </w:rPr>
        <w:t xml:space="preserve">also </w:t>
      </w:r>
      <w:r w:rsidR="00047F37">
        <w:rPr>
          <w:color w:val="auto"/>
        </w:rPr>
        <w:t>applied</w:t>
      </w:r>
      <w:r w:rsidR="00AE6837" w:rsidRPr="00AE6837">
        <w:rPr>
          <w:color w:val="auto"/>
        </w:rPr>
        <w:t xml:space="preserve"> </w:t>
      </w:r>
      <w:r w:rsidR="00D13234">
        <w:rPr>
          <w:color w:val="auto"/>
        </w:rPr>
        <w:t>as</w:t>
      </w:r>
      <w:r w:rsidR="00AE6837" w:rsidRPr="00AE6837">
        <w:rPr>
          <w:color w:val="auto"/>
        </w:rPr>
        <w:t xml:space="preserve"> an internal QA function, </w:t>
      </w:r>
      <w:r w:rsidR="00D13234">
        <w:rPr>
          <w:color w:val="auto"/>
        </w:rPr>
        <w:t>falling</w:t>
      </w:r>
      <w:r w:rsidR="00AE6837" w:rsidRPr="00AE6837">
        <w:rPr>
          <w:color w:val="auto"/>
        </w:rPr>
        <w:t xml:space="preserve"> under IBM’s global operations</w:t>
      </w:r>
      <w:r w:rsidR="00047F37">
        <w:rPr>
          <w:color w:val="auto"/>
        </w:rPr>
        <w:t xml:space="preserve">, </w:t>
      </w:r>
      <w:r w:rsidR="00AE6837" w:rsidRPr="00AE6837">
        <w:rPr>
          <w:color w:val="auto"/>
        </w:rPr>
        <w:t>overseen by CFO Kavanaugh in his Transformation &amp; Operations role</w:t>
      </w:r>
      <w:r w:rsidR="00D13234">
        <w:rPr>
          <w:color w:val="auto"/>
        </w:rPr>
        <w:t>.</w:t>
      </w:r>
      <w:r w:rsidR="007D418B">
        <w:rPr>
          <w:color w:val="auto"/>
        </w:rPr>
        <w:t xml:space="preserve"> See the IBM Consulting Services organization chart below:</w:t>
      </w:r>
    </w:p>
    <w:p w14:paraId="76CA1A47" w14:textId="0DEDAB39" w:rsidR="001C1FCB" w:rsidRPr="00A37BFF" w:rsidRDefault="001C1FCB" w:rsidP="00A91F80">
      <w:pPr>
        <w:rPr>
          <w:color w:val="auto"/>
        </w:rPr>
      </w:pPr>
      <w:r w:rsidRPr="00A37BFF">
        <w:rPr>
          <w:color w:val="auto"/>
        </w:rPr>
        <w:t>The Quality Assurance and Testing team at IBM is responsible for ensuring the highest standards of software quality across various applications and platforms. This team conducts comprehensive testing and validation processes, develops automated testing frameworks, and collaborates closely with development teams to identify and resolve issues early in the software development lifecycle. Their goal is to deliver reliable and high-performing products that meet customer expectations and drive innovation within the company.</w:t>
      </w:r>
    </w:p>
    <w:p w14:paraId="741ACFEC" w14:textId="77777777" w:rsidR="00980B1F" w:rsidRDefault="001C1FCB" w:rsidP="00980B1F">
      <w:pPr>
        <w:keepNext/>
      </w:pPr>
      <w:r w:rsidRPr="001C1FCB">
        <w:rPr>
          <w:noProof/>
          <w:color w:val="0070C0"/>
        </w:rPr>
        <w:lastRenderedPageBreak/>
        <w:drawing>
          <wp:inline distT="0" distB="0" distL="0" distR="0" wp14:anchorId="06829C0A" wp14:editId="321126C3">
            <wp:extent cx="5943600" cy="1616710"/>
            <wp:effectExtent l="0" t="0" r="0" b="2540"/>
            <wp:docPr id="1925658335"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658335" name="Picture 1" descr="A screenshot of a phone&#10;&#10;AI-generated content may be incorrect."/>
                    <pic:cNvPicPr/>
                  </pic:nvPicPr>
                  <pic:blipFill>
                    <a:blip r:embed="rId33"/>
                    <a:stretch>
                      <a:fillRect/>
                    </a:stretch>
                  </pic:blipFill>
                  <pic:spPr>
                    <a:xfrm>
                      <a:off x="0" y="0"/>
                      <a:ext cx="5943600" cy="1616710"/>
                    </a:xfrm>
                    <a:prstGeom prst="rect">
                      <a:avLst/>
                    </a:prstGeom>
                  </pic:spPr>
                </pic:pic>
              </a:graphicData>
            </a:graphic>
          </wp:inline>
        </w:drawing>
      </w:r>
    </w:p>
    <w:p w14:paraId="52F58B08" w14:textId="62C8E759" w:rsidR="00FD6164" w:rsidRDefault="00980B1F" w:rsidP="00980B1F">
      <w:pPr>
        <w:pStyle w:val="Caption"/>
        <w:jc w:val="center"/>
        <w:rPr>
          <w:color w:val="0070C0"/>
        </w:rPr>
      </w:pPr>
      <w:bookmarkStart w:id="8" w:name="_Toc213061793"/>
      <w:r>
        <w:t xml:space="preserve">Figure </w:t>
      </w:r>
      <w:r>
        <w:fldChar w:fldCharType="begin"/>
      </w:r>
      <w:r>
        <w:instrText xml:space="preserve"> SEQ Figure \* ARABIC </w:instrText>
      </w:r>
      <w:r>
        <w:fldChar w:fldCharType="separate"/>
      </w:r>
      <w:r>
        <w:rPr>
          <w:noProof/>
        </w:rPr>
        <w:t>3</w:t>
      </w:r>
      <w:r>
        <w:fldChar w:fldCharType="end"/>
      </w:r>
      <w:r>
        <w:t xml:space="preserve"> Quality Assurance and Test Team at IBM</w:t>
      </w:r>
      <w:bookmarkEnd w:id="8"/>
    </w:p>
    <w:p w14:paraId="6100C73C" w14:textId="3566511F" w:rsidR="73BB7ED9" w:rsidRDefault="73BB7ED9" w:rsidP="00281A69">
      <w:pPr>
        <w:pStyle w:val="Heading3"/>
        <w:rPr>
          <w:b/>
          <w:bCs/>
        </w:rPr>
      </w:pPr>
      <w:bookmarkStart w:id="9" w:name="_Toc213084241"/>
      <w:r w:rsidRPr="00871C19">
        <w:t>Firm References</w:t>
      </w:r>
      <w:r w:rsidR="00871C19">
        <w:t xml:space="preserve"> (</w:t>
      </w:r>
      <w:r w:rsidR="00871C19" w:rsidRPr="00871C19">
        <w:t>5.2.1.2</w:t>
      </w:r>
      <w:r w:rsidR="00871C19">
        <w:t>)</w:t>
      </w:r>
      <w:bookmarkEnd w:id="9"/>
    </w:p>
    <w:p w14:paraId="42DA1F84" w14:textId="77777777" w:rsidR="00A87E0D" w:rsidRDefault="73BB7ED9" w:rsidP="73BB7ED9">
      <w:pPr>
        <w:pStyle w:val="CS-IBMResponseText"/>
      </w:pPr>
      <w:r>
        <w:t xml:space="preserve">IBM is pleased to provide two references for the CalSAWS QA Services engagements. </w:t>
      </w:r>
      <w:proofErr w:type="gramStart"/>
      <w:r w:rsidR="00FF65EE">
        <w:t>Each of the</w:t>
      </w:r>
      <w:proofErr w:type="gramEnd"/>
      <w:r w:rsidR="00FF65EE">
        <w:t xml:space="preserve"> of the following</w:t>
      </w:r>
      <w:r>
        <w:t xml:space="preserve"> references</w:t>
      </w:r>
      <w:r w:rsidR="00FF65EE">
        <w:t xml:space="preserve"> </w:t>
      </w:r>
      <w:r w:rsidR="00F9765A">
        <w:t>are provided in separately attached</w:t>
      </w:r>
      <w:r w:rsidR="00DE3819">
        <w:t>,</w:t>
      </w:r>
      <w:r w:rsidR="00F9765A">
        <w:t xml:space="preserve"> </w:t>
      </w:r>
      <w:r w:rsidR="008146FD">
        <w:t>and signed</w:t>
      </w:r>
      <w:r w:rsidR="00DE3819">
        <w:t>, PDF</w:t>
      </w:r>
      <w:r w:rsidR="00280159">
        <w:t xml:space="preserve"> titled</w:t>
      </w:r>
      <w:r w:rsidR="00A87E0D">
        <w:t>:</w:t>
      </w:r>
    </w:p>
    <w:p w14:paraId="36DDEA3E" w14:textId="77777777" w:rsidR="00F52EB9" w:rsidRDefault="00F52EB9" w:rsidP="00F52EB9">
      <w:pPr>
        <w:pStyle w:val="CS-RFPBodyText"/>
        <w:numPr>
          <w:ilvl w:val="0"/>
          <w:numId w:val="32"/>
        </w:numPr>
        <w:rPr>
          <w:i/>
          <w:iCs/>
          <w:color w:val="auto"/>
          <w:u w:val="single"/>
        </w:rPr>
      </w:pPr>
      <w:r w:rsidRPr="004E1BD0">
        <w:rPr>
          <w:i/>
          <w:iCs/>
          <w:color w:val="auto"/>
          <w:u w:val="single"/>
        </w:rPr>
        <w:t>10.1. Vol 1 Sect 5 Att 9-Firm References (CA CAMMIS) - IBM.pdf</w:t>
      </w:r>
    </w:p>
    <w:p w14:paraId="7A70223D" w14:textId="77777777" w:rsidR="00F52EB9" w:rsidRDefault="00F52EB9" w:rsidP="00F52EB9">
      <w:pPr>
        <w:pStyle w:val="CS-RFPBodyText"/>
        <w:numPr>
          <w:ilvl w:val="0"/>
          <w:numId w:val="32"/>
        </w:numPr>
        <w:rPr>
          <w:i/>
          <w:iCs/>
          <w:color w:val="auto"/>
          <w:u w:val="single"/>
        </w:rPr>
      </w:pPr>
      <w:r w:rsidRPr="004E1BD0">
        <w:rPr>
          <w:i/>
          <w:iCs/>
          <w:color w:val="auto"/>
          <w:u w:val="single"/>
        </w:rPr>
        <w:t>10.2. Vol 1 Sect 5 Att 9-Firm References (FL DCF) - IBM.pdf</w:t>
      </w:r>
    </w:p>
    <w:p w14:paraId="2A122BC5" w14:textId="77777777" w:rsidR="73BB7ED9" w:rsidRDefault="73BB7ED9" w:rsidP="73BB7ED9">
      <w:pPr>
        <w:pStyle w:val="CS-IBMResponseText"/>
        <w:rPr>
          <w:b/>
          <w:bCs/>
        </w:rPr>
      </w:pPr>
      <w:r w:rsidRPr="73BB7ED9">
        <w:rPr>
          <w:b/>
          <w:bCs/>
        </w:rPr>
        <w:t>California Medicaid Management System (CA-MMIS)</w:t>
      </w:r>
    </w:p>
    <w:p w14:paraId="77A33F11" w14:textId="37F0E05C" w:rsidR="73BB7ED9" w:rsidRDefault="73BB7ED9" w:rsidP="73BB7ED9">
      <w:pPr>
        <w:pStyle w:val="CS-IBMBullet1"/>
      </w:pPr>
      <w:r w:rsidRPr="73BB7ED9">
        <w:rPr>
          <w:b/>
          <w:bCs/>
        </w:rPr>
        <w:t xml:space="preserve">Contact: </w:t>
      </w:r>
      <w:r>
        <w:t>Doug Vincent, Chief, Vendor Management Section Branch</w:t>
      </w:r>
    </w:p>
    <w:p w14:paraId="3DAD76EA" w14:textId="49171747" w:rsidR="73BB7ED9" w:rsidRDefault="73BB7ED9" w:rsidP="73BB7ED9">
      <w:pPr>
        <w:pStyle w:val="CS-IBMBullet1"/>
      </w:pPr>
      <w:r w:rsidRPr="73BB7ED9">
        <w:rPr>
          <w:b/>
          <w:bCs/>
        </w:rPr>
        <w:t xml:space="preserve">Organization: </w:t>
      </w:r>
      <w:r>
        <w:t>California Medicaid Management Information System (CA-MMIS)</w:t>
      </w:r>
    </w:p>
    <w:p w14:paraId="3D663F93" w14:textId="0A684D39" w:rsidR="73BB7ED9" w:rsidRDefault="73BB7ED9" w:rsidP="73BB7ED9">
      <w:pPr>
        <w:pStyle w:val="CS-IBMBullet1"/>
      </w:pPr>
      <w:r w:rsidRPr="73BB7ED9">
        <w:rPr>
          <w:b/>
          <w:bCs/>
        </w:rPr>
        <w:t>Address:</w:t>
      </w:r>
      <w:r>
        <w:t xml:space="preserve"> 830 Stillwater Road, West Sacramento, CA 95605</w:t>
      </w:r>
    </w:p>
    <w:p w14:paraId="18185C59" w14:textId="36CB8E1F" w:rsidR="73BB7ED9" w:rsidRDefault="73BB7ED9" w:rsidP="73BB7ED9">
      <w:pPr>
        <w:pStyle w:val="CS-IBMBullet1"/>
      </w:pPr>
      <w:r w:rsidRPr="73BB7ED9">
        <w:rPr>
          <w:b/>
          <w:bCs/>
        </w:rPr>
        <w:t xml:space="preserve">Phone: </w:t>
      </w:r>
      <w:r>
        <w:t>(916) 208-5265</w:t>
      </w:r>
    </w:p>
    <w:p w14:paraId="7F7E47DD" w14:textId="4678D470" w:rsidR="73BB7ED9" w:rsidRDefault="73BB7ED9" w:rsidP="73BB7ED9">
      <w:pPr>
        <w:pStyle w:val="CS-IBMBullet1"/>
      </w:pPr>
      <w:r w:rsidRPr="73BB7ED9">
        <w:rPr>
          <w:b/>
          <w:bCs/>
        </w:rPr>
        <w:t>Email:</w:t>
      </w:r>
      <w:r>
        <w:t xml:space="preserve"> Doug.Vincent@dhcs.ca.gov</w:t>
      </w:r>
    </w:p>
    <w:p w14:paraId="0EFF0F94" w14:textId="25A09E2B" w:rsidR="45572E76" w:rsidRDefault="45572E76" w:rsidP="00CB1F71">
      <w:pPr>
        <w:pStyle w:val="CS-IBMBullet2"/>
        <w:numPr>
          <w:ilvl w:val="0"/>
          <w:numId w:val="0"/>
        </w:numPr>
        <w:spacing w:before="120" w:after="120" w:line="259" w:lineRule="auto"/>
        <w:rPr>
          <w:b/>
          <w:bCs/>
          <w:color w:val="000000" w:themeColor="text2"/>
          <w:szCs w:val="22"/>
        </w:rPr>
      </w:pPr>
      <w:r w:rsidRPr="45572E76">
        <w:rPr>
          <w:b/>
          <w:bCs/>
        </w:rPr>
        <w:t xml:space="preserve">State of Florida, Department of Children and Families (DCF) </w:t>
      </w:r>
    </w:p>
    <w:p w14:paraId="5B7E4C04" w14:textId="3E766B1D" w:rsidR="45572E76" w:rsidRDefault="45572E76" w:rsidP="00CB1F71">
      <w:pPr>
        <w:pStyle w:val="CS-IBMBullet1"/>
        <w:ind w:left="357" w:hanging="357"/>
        <w:rPr>
          <w:b/>
          <w:bCs/>
        </w:rPr>
      </w:pPr>
      <w:r w:rsidRPr="45572E76">
        <w:rPr>
          <w:b/>
          <w:bCs/>
        </w:rPr>
        <w:t>Contact:</w:t>
      </w:r>
      <w:r>
        <w:t xml:space="preserve"> James Cheatham, Director, Family and Community Services</w:t>
      </w:r>
    </w:p>
    <w:p w14:paraId="5463AC5E" w14:textId="23DF577A" w:rsidR="45572E76" w:rsidRDefault="45572E76" w:rsidP="45572E76">
      <w:pPr>
        <w:pStyle w:val="CS-IBMBullet1"/>
        <w:spacing w:line="259" w:lineRule="auto"/>
        <w:rPr>
          <w:b/>
          <w:bCs/>
        </w:rPr>
      </w:pPr>
      <w:r w:rsidRPr="45572E76">
        <w:rPr>
          <w:b/>
          <w:bCs/>
        </w:rPr>
        <w:t xml:space="preserve">Organization: </w:t>
      </w:r>
      <w:r>
        <w:t>State of Florida, Department of Children and Families</w:t>
      </w:r>
    </w:p>
    <w:p w14:paraId="547C32AC" w14:textId="4355556D" w:rsidR="45572E76" w:rsidRDefault="45572E76" w:rsidP="45572E76">
      <w:pPr>
        <w:pStyle w:val="CS-IBMBullet1"/>
        <w:spacing w:line="259" w:lineRule="auto"/>
        <w:rPr>
          <w:color w:val="000000" w:themeColor="text2"/>
          <w:szCs w:val="22"/>
        </w:rPr>
      </w:pPr>
      <w:r w:rsidRPr="45572E76">
        <w:rPr>
          <w:b/>
          <w:bCs/>
        </w:rPr>
        <w:t>Address:</w:t>
      </w:r>
      <w:r>
        <w:t xml:space="preserve"> 2415 N. Monroe Street, Tallahassee, Florida 32303</w:t>
      </w:r>
    </w:p>
    <w:p w14:paraId="33B15F6C" w14:textId="4726D20D" w:rsidR="45572E76" w:rsidRDefault="45572E76" w:rsidP="45572E76">
      <w:pPr>
        <w:pStyle w:val="CS-IBMBullet1"/>
        <w:spacing w:line="259" w:lineRule="auto"/>
        <w:rPr>
          <w:color w:val="000000" w:themeColor="text2"/>
          <w:szCs w:val="22"/>
        </w:rPr>
      </w:pPr>
      <w:r w:rsidRPr="45572E76">
        <w:rPr>
          <w:b/>
          <w:bCs/>
        </w:rPr>
        <w:t>Phone:</w:t>
      </w:r>
      <w:r>
        <w:t xml:space="preserve"> (850) 879-5573</w:t>
      </w:r>
    </w:p>
    <w:p w14:paraId="5DA5CEE5" w14:textId="1B200CCF" w:rsidR="45572E76" w:rsidRPr="00871C19" w:rsidRDefault="45572E76" w:rsidP="45572E76">
      <w:pPr>
        <w:pStyle w:val="CS-IBMBullet1"/>
        <w:spacing w:line="259" w:lineRule="auto"/>
        <w:rPr>
          <w:color w:val="000000" w:themeColor="text2"/>
          <w:szCs w:val="22"/>
        </w:rPr>
      </w:pPr>
      <w:r w:rsidRPr="45572E76">
        <w:rPr>
          <w:b/>
          <w:bCs/>
        </w:rPr>
        <w:t>Email:</w:t>
      </w:r>
      <w:r>
        <w:t xml:space="preserve"> </w:t>
      </w:r>
      <w:hyperlink r:id="rId34" w:history="1">
        <w:r w:rsidR="00871C19" w:rsidRPr="00300C67">
          <w:rPr>
            <w:rStyle w:val="Hyperlink"/>
          </w:rPr>
          <w:t>james.cheatham@myflfamilies.com</w:t>
        </w:r>
      </w:hyperlink>
    </w:p>
    <w:p w14:paraId="0D12F4DC" w14:textId="4058835F" w:rsidR="00AB0D6B" w:rsidRPr="00AB0D6B" w:rsidRDefault="00AB0D6B" w:rsidP="005C5A50">
      <w:pPr>
        <w:pStyle w:val="Heading2"/>
      </w:pPr>
      <w:bookmarkStart w:id="10" w:name="_Toc213084242"/>
      <w:r w:rsidRPr="00AB0D6B">
        <w:t>Firm Financial Resources</w:t>
      </w:r>
      <w:r w:rsidR="009626D9">
        <w:t xml:space="preserve"> (5.2.1.3)</w:t>
      </w:r>
      <w:bookmarkEnd w:id="10"/>
    </w:p>
    <w:p w14:paraId="693C39E5" w14:textId="5809D202" w:rsidR="004D0496" w:rsidRPr="005748A3" w:rsidRDefault="003571B4" w:rsidP="004D0496">
      <w:pPr>
        <w:pStyle w:val="CS-IBMResponseText"/>
      </w:pPr>
      <w:r>
        <w:t xml:space="preserve">In accordance with Section 5.2.1.3, </w:t>
      </w:r>
      <w:r w:rsidR="45572E76" w:rsidRPr="005748A3">
        <w:t xml:space="preserve">IBM </w:t>
      </w:r>
      <w:r w:rsidR="0097616A" w:rsidRPr="005748A3">
        <w:t xml:space="preserve">has </w:t>
      </w:r>
      <w:r w:rsidR="45572E76" w:rsidRPr="005748A3">
        <w:t>provid</w:t>
      </w:r>
      <w:r w:rsidR="0097616A" w:rsidRPr="005748A3">
        <w:t>ed with this response</w:t>
      </w:r>
      <w:r w:rsidR="000F1071" w:rsidRPr="005748A3">
        <w:t xml:space="preserve"> all </w:t>
      </w:r>
      <w:r w:rsidR="45572E76" w:rsidRPr="005748A3">
        <w:t xml:space="preserve">attachments </w:t>
      </w:r>
      <w:r w:rsidR="000F1071" w:rsidRPr="005748A3">
        <w:t xml:space="preserve">and proof </w:t>
      </w:r>
      <w:r w:rsidR="45572E76" w:rsidRPr="005748A3">
        <w:t>of financial qualifications</w:t>
      </w:r>
      <w:r w:rsidR="000F1071" w:rsidRPr="005748A3">
        <w:t xml:space="preserve"> associated with IBM and our subcontractor, </w:t>
      </w:r>
      <w:r w:rsidR="45572E76" w:rsidRPr="005748A3">
        <w:t>Speridian Technologies LLC., who is providing</w:t>
      </w:r>
      <w:r w:rsidR="00D02288">
        <w:t xml:space="preserve"> 20</w:t>
      </w:r>
      <w:r w:rsidR="45572E76" w:rsidRPr="005748A3">
        <w:t xml:space="preserve"> % of the workshare for this QA Services engagement.</w:t>
      </w:r>
      <w:r w:rsidR="00B979B8" w:rsidRPr="005748A3">
        <w:t xml:space="preserve"> </w:t>
      </w:r>
    </w:p>
    <w:p w14:paraId="2C5FE716" w14:textId="7145607F" w:rsidR="008F5B2B" w:rsidRPr="003A7690" w:rsidRDefault="008F5B2B" w:rsidP="008F5B2B">
      <w:pPr>
        <w:pStyle w:val="CS-IBMResponseText"/>
        <w:rPr>
          <w:b/>
          <w:color w:val="0070C0"/>
        </w:rPr>
      </w:pPr>
      <w:r w:rsidRPr="003A7690">
        <w:rPr>
          <w:b/>
          <w:color w:val="0070C0"/>
        </w:rPr>
        <w:t xml:space="preserve">F6: </w:t>
      </w:r>
      <w:r w:rsidR="003E6F33" w:rsidRPr="003A7690">
        <w:rPr>
          <w:b/>
          <w:color w:val="0070C0"/>
        </w:rPr>
        <w:t xml:space="preserve">The Bidder will provide financial statements for the past two (2) fiscal years for the Contractor and each subcontractor. </w:t>
      </w:r>
      <w:proofErr w:type="gramStart"/>
      <w:r w:rsidR="003E6F33" w:rsidRPr="003A7690">
        <w:rPr>
          <w:b/>
          <w:color w:val="0070C0"/>
        </w:rPr>
        <w:t>These</w:t>
      </w:r>
      <w:proofErr w:type="gramEnd"/>
      <w:r w:rsidR="003E6F33" w:rsidRPr="003A7690">
        <w:rPr>
          <w:b/>
          <w:color w:val="0070C0"/>
        </w:rPr>
        <w:t xml:space="preserv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w:t>
      </w:r>
      <w:r w:rsidR="003E6F33" w:rsidRPr="003A7690">
        <w:rPr>
          <w:b/>
          <w:color w:val="0070C0"/>
        </w:rPr>
        <w:lastRenderedPageBreak/>
        <w:t>National Association of Insurance Commissioners (NAIC) or the International Financial Reporting Standards (IFRS).</w:t>
      </w:r>
    </w:p>
    <w:p w14:paraId="31BFA8E4" w14:textId="1BDEFAA6" w:rsidR="003E6F33" w:rsidRPr="000B22B4" w:rsidRDefault="003E6F33" w:rsidP="008F5B2B">
      <w:pPr>
        <w:pStyle w:val="CS-IBMResponseText"/>
      </w:pPr>
      <w:r w:rsidRPr="000B22B4">
        <w:t xml:space="preserve">IBM and our subcontractor, Speridian Technologies, will be providing financial statements for the past 2 fiscal years, which comply with the standards specified in requirements above.  </w:t>
      </w:r>
    </w:p>
    <w:p w14:paraId="20B4D2FD" w14:textId="77777777" w:rsidR="005D079F" w:rsidRPr="005748A3" w:rsidRDefault="005D079F" w:rsidP="005D079F">
      <w:pPr>
        <w:pStyle w:val="CS-IBMResponseText"/>
      </w:pPr>
      <w:r w:rsidRPr="005748A3">
        <w:t>See separate files titled:</w:t>
      </w:r>
    </w:p>
    <w:p w14:paraId="540EF2D9" w14:textId="77777777" w:rsidR="005D079F" w:rsidRPr="005748A3" w:rsidRDefault="005D079F" w:rsidP="005D079F">
      <w:pPr>
        <w:pStyle w:val="CS-IBMResponseText"/>
        <w:numPr>
          <w:ilvl w:val="0"/>
          <w:numId w:val="27"/>
        </w:numPr>
      </w:pPr>
      <w:r w:rsidRPr="005748A3">
        <w:t>4. Vol 1 Sect 2.1 Firm Financial Qualifications – IBM</w:t>
      </w:r>
      <w:r>
        <w:t>.zip</w:t>
      </w:r>
    </w:p>
    <w:p w14:paraId="5C875ED9" w14:textId="77777777" w:rsidR="005D079F" w:rsidRDefault="005D079F" w:rsidP="005D079F">
      <w:pPr>
        <w:pStyle w:val="CS-IBMResponseText"/>
        <w:numPr>
          <w:ilvl w:val="1"/>
          <w:numId w:val="27"/>
        </w:numPr>
      </w:pPr>
      <w:r w:rsidRPr="00F12ABD">
        <w:t>F6_F8. ibm_annual_report_2023</w:t>
      </w:r>
      <w:r>
        <w:t>.pdf</w:t>
      </w:r>
    </w:p>
    <w:p w14:paraId="504E99E0" w14:textId="77777777" w:rsidR="005D079F" w:rsidRPr="005748A3" w:rsidRDefault="005D079F" w:rsidP="005D079F">
      <w:pPr>
        <w:pStyle w:val="CS-IBMResponseText"/>
        <w:numPr>
          <w:ilvl w:val="1"/>
          <w:numId w:val="27"/>
        </w:numPr>
      </w:pPr>
      <w:r w:rsidRPr="003B1A7D">
        <w:t>F6_F8. ibm-annual-report-2024</w:t>
      </w:r>
      <w:r>
        <w:t>.pdf</w:t>
      </w:r>
    </w:p>
    <w:p w14:paraId="7272078E" w14:textId="77777777" w:rsidR="005D079F" w:rsidRPr="005748A3" w:rsidRDefault="005D079F" w:rsidP="005D079F">
      <w:pPr>
        <w:pStyle w:val="CS-IBMResponseText"/>
        <w:numPr>
          <w:ilvl w:val="1"/>
          <w:numId w:val="27"/>
        </w:numPr>
      </w:pPr>
      <w:r w:rsidRPr="00644B9A">
        <w:t>F6_F8. IBM-financial report-10-Q 2025-06-30</w:t>
      </w:r>
      <w:r>
        <w:t>.pdf</w:t>
      </w:r>
    </w:p>
    <w:p w14:paraId="1B98C2FB" w14:textId="77777777" w:rsidR="005D079F" w:rsidRPr="005748A3" w:rsidRDefault="005D079F" w:rsidP="005D079F">
      <w:pPr>
        <w:pStyle w:val="CS-IBMResponseText"/>
        <w:numPr>
          <w:ilvl w:val="1"/>
          <w:numId w:val="27"/>
        </w:numPr>
      </w:pPr>
      <w:r w:rsidRPr="00283A33">
        <w:t>F6_F8_IBM certificateofincorporation</w:t>
      </w:r>
      <w:r>
        <w:t>.pdf</w:t>
      </w:r>
    </w:p>
    <w:p w14:paraId="4E7CDC58" w14:textId="77777777" w:rsidR="005D079F" w:rsidRPr="005748A3" w:rsidRDefault="005D079F" w:rsidP="005D079F">
      <w:pPr>
        <w:pStyle w:val="CS-IBMResponseText"/>
        <w:numPr>
          <w:ilvl w:val="0"/>
          <w:numId w:val="27"/>
        </w:numPr>
      </w:pPr>
      <w:r w:rsidRPr="005748A3">
        <w:t>4. Vol 1 Sect 2.2 Firm Financial Qualifications – Speridian</w:t>
      </w:r>
      <w:r>
        <w:t>.zip</w:t>
      </w:r>
    </w:p>
    <w:p w14:paraId="271DE88C" w14:textId="77777777" w:rsidR="005D079F" w:rsidRPr="005748A3" w:rsidRDefault="005D079F" w:rsidP="005D079F">
      <w:pPr>
        <w:pStyle w:val="CS-IBMResponseText"/>
        <w:numPr>
          <w:ilvl w:val="1"/>
          <w:numId w:val="27"/>
        </w:numPr>
      </w:pPr>
      <w:r w:rsidRPr="000129DF">
        <w:t>F6_F8. Speridian - 2023 Audited Financial Report</w:t>
      </w:r>
      <w:r>
        <w:t>.pdf</w:t>
      </w:r>
    </w:p>
    <w:p w14:paraId="416F0EC3" w14:textId="77777777" w:rsidR="005D079F" w:rsidRPr="005748A3" w:rsidRDefault="005D079F" w:rsidP="005D079F">
      <w:pPr>
        <w:pStyle w:val="CS-IBMResponseText"/>
        <w:numPr>
          <w:ilvl w:val="1"/>
          <w:numId w:val="27"/>
        </w:numPr>
      </w:pPr>
      <w:r w:rsidRPr="005A4B63">
        <w:t>F6_F8. Speridian - 2024 Audited Financial Report</w:t>
      </w:r>
      <w:r>
        <w:t>.pdf</w:t>
      </w:r>
    </w:p>
    <w:p w14:paraId="4AE3A015" w14:textId="77777777" w:rsidR="00842BC9" w:rsidRPr="005748A3" w:rsidRDefault="00842BC9" w:rsidP="00842BC9">
      <w:pPr>
        <w:pStyle w:val="CS-IBMResponseText"/>
      </w:pPr>
    </w:p>
    <w:p w14:paraId="6E36ADDA" w14:textId="71579F78" w:rsidR="0020772C" w:rsidRPr="003A7690" w:rsidRDefault="0020772C" w:rsidP="00842BC9">
      <w:pPr>
        <w:pStyle w:val="CS-IBMResponseText"/>
        <w:rPr>
          <w:b/>
          <w:color w:val="0070C0"/>
        </w:rPr>
      </w:pPr>
      <w:r w:rsidRPr="003A7690">
        <w:rPr>
          <w:b/>
          <w:color w:val="0070C0"/>
        </w:rPr>
        <w:t xml:space="preserve">F7: </w:t>
      </w:r>
      <w:r w:rsidR="007B4E0B" w:rsidRPr="003A7690">
        <w:rPr>
          <w:b/>
          <w:color w:val="0070C0"/>
        </w:rPr>
        <w:t xml:space="preserve">The Bidder must also provide a copy of its </w:t>
      </w:r>
      <w:bookmarkStart w:id="11" w:name="_Hlk212225221"/>
      <w:r w:rsidR="007B4E0B" w:rsidRPr="003A7690">
        <w:rPr>
          <w:b/>
          <w:color w:val="0070C0"/>
        </w:rPr>
        <w:t>Dun &amp; Bradstreet (D&amp;B</w:t>
      </w:r>
      <w:bookmarkEnd w:id="11"/>
      <w:r w:rsidR="007B4E0B" w:rsidRPr="003A7690">
        <w:rPr>
          <w:b/>
          <w:color w:val="0070C0"/>
        </w:rPr>
        <w:t>) D-U-N-S number and Business Information Report, inclusive of its D&amp;B viability and credit ratings.</w:t>
      </w:r>
    </w:p>
    <w:p w14:paraId="2F9DE5B0" w14:textId="0D39EE03" w:rsidR="007E2F6D" w:rsidRDefault="007E2F6D" w:rsidP="007E2F6D">
      <w:pPr>
        <w:pStyle w:val="CS-IBMResponseText"/>
      </w:pPr>
      <w:r>
        <w:t>The IBM Dun and Bradstreet number is 00-136-8083. D&amp;B Rating: 5A2.</w:t>
      </w:r>
      <w:r w:rsidR="00AC0DBB">
        <w:t xml:space="preserve"> </w:t>
      </w:r>
    </w:p>
    <w:p w14:paraId="07AF4DD7" w14:textId="5E610900" w:rsidR="00F00934" w:rsidRDefault="00F00934" w:rsidP="007E2F6D">
      <w:pPr>
        <w:pStyle w:val="CS-IBMResponseText"/>
      </w:pPr>
      <w:hyperlink r:id="rId35" w:history="1">
        <w:r w:rsidRPr="00300C67">
          <w:rPr>
            <w:rStyle w:val="Hyperlink"/>
          </w:rPr>
          <w:t>https://www.dnb.com/business-directory/company-profiles.international_business_machines_corporation.30a99070acc09cf685dec0f456bbd3af.html</w:t>
        </w:r>
      </w:hyperlink>
      <w:r>
        <w:t xml:space="preserve"> </w:t>
      </w:r>
    </w:p>
    <w:p w14:paraId="4426CA01" w14:textId="77777777" w:rsidR="00C96746" w:rsidRDefault="00C96746" w:rsidP="00C96746">
      <w:pPr>
        <w:pStyle w:val="CS-IBMResponseText"/>
      </w:pPr>
      <w:r>
        <w:t xml:space="preserve">We have included a copy of proof of our Business Information report available on the </w:t>
      </w:r>
      <w:r w:rsidRPr="00026428">
        <w:t>Dun &amp; Bradstreet (D&amp;B</w:t>
      </w:r>
      <w:r>
        <w:t>) directory</w:t>
      </w:r>
      <w:r w:rsidRPr="00026428">
        <w:t xml:space="preserve"> </w:t>
      </w:r>
      <w:r>
        <w:t xml:space="preserve">at the end of this section and as a separately attached document within the above zip file folders (both for IBM and Speridian. </w:t>
      </w:r>
    </w:p>
    <w:p w14:paraId="1F206A73" w14:textId="77777777" w:rsidR="00C96746" w:rsidRPr="005748A3" w:rsidRDefault="00C96746" w:rsidP="00C96746">
      <w:pPr>
        <w:pStyle w:val="CS-IBMResponseText"/>
        <w:numPr>
          <w:ilvl w:val="0"/>
          <w:numId w:val="27"/>
        </w:numPr>
      </w:pPr>
      <w:r w:rsidRPr="005748A3">
        <w:t>4. Vol 1 Sect 2.1 Firm Financial Qualifications – IBM</w:t>
      </w:r>
      <w:r>
        <w:t>.zip</w:t>
      </w:r>
    </w:p>
    <w:p w14:paraId="39A07F57" w14:textId="77777777" w:rsidR="00C96746" w:rsidRPr="005748A3" w:rsidRDefault="00C96746" w:rsidP="00C96746">
      <w:pPr>
        <w:pStyle w:val="CS-IBMResponseText"/>
        <w:numPr>
          <w:ilvl w:val="1"/>
          <w:numId w:val="27"/>
        </w:numPr>
      </w:pPr>
      <w:r w:rsidRPr="004E758C">
        <w:t>F7. Dun &amp; Bradstreet Report 2025_IBM</w:t>
      </w:r>
      <w:r>
        <w:t>.pdf</w:t>
      </w:r>
    </w:p>
    <w:p w14:paraId="5D4203F8" w14:textId="77777777" w:rsidR="00C96746" w:rsidRPr="005748A3" w:rsidRDefault="00C96746" w:rsidP="00C96746">
      <w:pPr>
        <w:pStyle w:val="CS-IBMResponseText"/>
        <w:numPr>
          <w:ilvl w:val="0"/>
          <w:numId w:val="27"/>
        </w:numPr>
      </w:pPr>
      <w:r w:rsidRPr="005748A3">
        <w:t>4. Vol 1 Sect 2.2 Firm Financial Qualifications – Speridian</w:t>
      </w:r>
      <w:r>
        <w:t>.zip</w:t>
      </w:r>
    </w:p>
    <w:p w14:paraId="489F395A" w14:textId="77777777" w:rsidR="00C96746" w:rsidRPr="005748A3" w:rsidRDefault="00C96746" w:rsidP="00C96746">
      <w:pPr>
        <w:pStyle w:val="CS-IBMResponseText"/>
        <w:numPr>
          <w:ilvl w:val="1"/>
          <w:numId w:val="27"/>
        </w:numPr>
      </w:pPr>
      <w:r w:rsidRPr="009C6FEA">
        <w:t>F7. Dun &amp; Bradstreet Report 2025_Speridian</w:t>
      </w:r>
      <w:r>
        <w:t>.pdf</w:t>
      </w:r>
    </w:p>
    <w:p w14:paraId="297844BA" w14:textId="3FBE42CD" w:rsidR="00705C81" w:rsidRPr="003A7690" w:rsidRDefault="00705C81" w:rsidP="008F5B2B">
      <w:pPr>
        <w:pStyle w:val="CS-IBMResponseText"/>
        <w:rPr>
          <w:b/>
          <w:color w:val="0070C0"/>
        </w:rPr>
      </w:pPr>
      <w:r w:rsidRPr="003A7690">
        <w:rPr>
          <w:b/>
          <w:color w:val="0070C0"/>
        </w:rPr>
        <w:t>F</w:t>
      </w:r>
      <w:r w:rsidR="00ED23D4" w:rsidRPr="003A7690">
        <w:rPr>
          <w:b/>
          <w:color w:val="0070C0"/>
        </w:rPr>
        <w:t>8</w:t>
      </w:r>
      <w:r w:rsidRPr="003A7690">
        <w:rPr>
          <w:b/>
          <w:color w:val="0070C0"/>
        </w:rPr>
        <w:t xml:space="preserve">: </w:t>
      </w:r>
      <w:r w:rsidR="00ED23D4" w:rsidRPr="003A7690">
        <w:rPr>
          <w:b/>
          <w:color w:val="0070C0"/>
        </w:rPr>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p w14:paraId="5D9C46C9" w14:textId="3BB482E2" w:rsidR="00DC3564" w:rsidRPr="006D7773" w:rsidRDefault="00303061" w:rsidP="008F5B2B">
      <w:pPr>
        <w:pStyle w:val="CS-IBMResponseText"/>
      </w:pPr>
      <w:r>
        <w:t xml:space="preserve">The IBM </w:t>
      </w:r>
      <w:r w:rsidR="00DC3564">
        <w:t xml:space="preserve">Annual </w:t>
      </w:r>
      <w:r>
        <w:t xml:space="preserve">Financial </w:t>
      </w:r>
      <w:r w:rsidR="00810EB7">
        <w:t>Report</w:t>
      </w:r>
      <w:r w:rsidR="00DC3564">
        <w:t>s</w:t>
      </w:r>
      <w:r w:rsidR="00ED23D4" w:rsidRPr="006D7773">
        <w:t xml:space="preserve"> provided in the Firm Financial Qualification_F6 files have been signed by our Parent Company’s Chief </w:t>
      </w:r>
      <w:r w:rsidR="00F704D3" w:rsidRPr="00F704D3">
        <w:t xml:space="preserve">Executive Officer, Chief </w:t>
      </w:r>
      <w:r w:rsidR="00ED23D4" w:rsidRPr="006D7773">
        <w:t>Financial Officer</w:t>
      </w:r>
      <w:r w:rsidR="00F704D3" w:rsidRPr="00F704D3">
        <w:t xml:space="preserve"> and/or Designee(s), certifying the financial information is accurate and complete</w:t>
      </w:r>
      <w:r w:rsidR="00ED23D4" w:rsidRPr="006D7773">
        <w:t>.</w:t>
      </w:r>
      <w:r w:rsidR="006A35BB">
        <w:t xml:space="preserve"> </w:t>
      </w:r>
      <w:r w:rsidR="00DC3564">
        <w:t xml:space="preserve">The Speridian Technologies LLC </w:t>
      </w:r>
      <w:r w:rsidR="00194655">
        <w:t>Annual Financial Reports have been signed by an independent auditor.</w:t>
      </w:r>
    </w:p>
    <w:p w14:paraId="5BF0F200" w14:textId="50816196" w:rsidR="00AB0D6B" w:rsidRPr="00AB0D6B" w:rsidRDefault="00AB0D6B" w:rsidP="005C5A50">
      <w:pPr>
        <w:pStyle w:val="Heading2"/>
      </w:pPr>
      <w:bookmarkStart w:id="12" w:name="_Toc213084243"/>
      <w:r w:rsidRPr="00AB0D6B">
        <w:lastRenderedPageBreak/>
        <w:t>Subcontractor Additional Details</w:t>
      </w:r>
      <w:r w:rsidR="008D2CB2">
        <w:t xml:space="preserve"> (6.3.3.4.3)</w:t>
      </w:r>
      <w:bookmarkEnd w:id="12"/>
    </w:p>
    <w:p w14:paraId="4580C723" w14:textId="77777777" w:rsidR="00AB0D6B" w:rsidRPr="00AB0D6B" w:rsidRDefault="00AB0D6B" w:rsidP="00AB0D6B">
      <w:pPr>
        <w:pStyle w:val="CS-RFPBodyText"/>
      </w:pPr>
      <w:r w:rsidRPr="00AB0D6B">
        <w:t>The Contractor shall provide a detailed description of all Work to be performed by the subcontractor(s) providing at least 20% of the annual price during the base contract period, including:</w:t>
      </w:r>
    </w:p>
    <w:p w14:paraId="78645B15" w14:textId="5E04D565" w:rsidR="00AB0D6B" w:rsidRPr="00AB0D6B" w:rsidRDefault="00AB0D6B" w:rsidP="00352CD0">
      <w:pPr>
        <w:pStyle w:val="CS-RFPBullet1"/>
      </w:pPr>
      <w:r w:rsidRPr="00AB0D6B">
        <w:t>Any Tasks, or portions thereof, that will be subcontracted must be identified and defined;</w:t>
      </w:r>
    </w:p>
    <w:p w14:paraId="3D073EDF" w14:textId="7ACBF67A" w:rsidR="00AB0D6B" w:rsidRPr="00AB0D6B" w:rsidRDefault="00AB0D6B" w:rsidP="00352CD0">
      <w:pPr>
        <w:pStyle w:val="CS-RFPBullet1"/>
      </w:pPr>
      <w:r w:rsidRPr="00AB0D6B">
        <w:t>Each subcontractor(s) responsible shall be identified by name;</w:t>
      </w:r>
    </w:p>
    <w:p w14:paraId="5A03CFCB" w14:textId="241B26FB" w:rsidR="00AB0D6B" w:rsidRPr="00AB0D6B" w:rsidRDefault="00AB0D6B" w:rsidP="00352CD0">
      <w:pPr>
        <w:pStyle w:val="CS-RFPBullet1"/>
      </w:pPr>
      <w:r w:rsidRPr="00AB0D6B">
        <w:t>The rationale for selection of the subcontractor(s) must be stated; and</w:t>
      </w:r>
    </w:p>
    <w:p w14:paraId="5F479654" w14:textId="32AC0B11" w:rsidR="00AB0D6B" w:rsidRPr="00AB0D6B" w:rsidRDefault="00AB0D6B" w:rsidP="00352CD0">
      <w:pPr>
        <w:pStyle w:val="CS-RFPBullet1"/>
      </w:pPr>
      <w:r w:rsidRPr="00AB0D6B">
        <w:t>The exact type and amount of Work to be done by each subcontractor must be identified and defined.</w:t>
      </w:r>
    </w:p>
    <w:p w14:paraId="38BB9924" w14:textId="585F10D2" w:rsidR="009F6CA3" w:rsidRPr="00AB0D6B" w:rsidRDefault="73BB7ED9" w:rsidP="00AB0D6B">
      <w:pPr>
        <w:pStyle w:val="CS-RFPBodyText"/>
      </w:pPr>
      <w:r>
        <w:t>Additionally, the Contractor shall delineate the percentage of the total QA Services Work each subcontractor will perform by SFY. The percentage of Work shall be calculated using the subcontractor’s portion of the total number of Work hours or by using another method such as the subcontractor’s portion of the prime Contractor’s total price. The Contractor shall separately delineate the percentage of the total QA Services Work any Minority or MWBEs or Disabled Veteran Owned Business Enterprises will perform by SFY.</w:t>
      </w:r>
    </w:p>
    <w:p w14:paraId="3F7C99DF" w14:textId="03BFE51F" w:rsidR="73BB7ED9" w:rsidRDefault="45572E76" w:rsidP="73BB7ED9">
      <w:pPr>
        <w:pStyle w:val="CS-IBMResponseText"/>
        <w:spacing w:line="259" w:lineRule="auto"/>
      </w:pPr>
      <w:r>
        <w:t xml:space="preserve">To help with completing the activities associated with QA Services, IBM is subcontracting with two partners, </w:t>
      </w:r>
      <w:r w:rsidR="005F7752">
        <w:t xml:space="preserve">Speridian Technologies, LLC., and </w:t>
      </w:r>
      <w:r>
        <w:t>KAI Partners, LLC</w:t>
      </w:r>
      <w:r w:rsidR="005F7752">
        <w:t>.</w:t>
      </w:r>
    </w:p>
    <w:p w14:paraId="07D20DE4" w14:textId="77777777" w:rsidR="00670613" w:rsidRDefault="00670613" w:rsidP="00670613">
      <w:pPr>
        <w:pStyle w:val="CS-IBMResponseText"/>
        <w:spacing w:line="259" w:lineRule="auto"/>
      </w:pPr>
      <w:r w:rsidRPr="45572E76">
        <w:rPr>
          <w:b/>
          <w:bCs/>
        </w:rPr>
        <w:t>Speridian Technologies LLC</w:t>
      </w:r>
      <w:r>
        <w:t>., is a global IT consulting firm with deep expertise in digital transformation, cloud modernization, and customer experience solutions. With over 20 years of experience and a portfolio of 500+ clients, Speridian brings delivery excellence and a consultative approach tailored to public sector challenges. Their involvement in CalSAWS reflects their commitment to modernizing welfare systems through secure, scalable, and user-friendly technology platforms. Speridian’s global delivery model and advisory leadership help ensure long-term success for the Consortium’s mission-critical systems. While Speridian is a global firm, they possess a</w:t>
      </w:r>
      <w:r w:rsidRPr="45572E76">
        <w:rPr>
          <w:rFonts w:eastAsia="Century Gothic" w:cs="Century Gothic"/>
          <w:color w:val="0D0D0D" w:themeColor="text2" w:themeTint="F2"/>
          <w:szCs w:val="22"/>
        </w:rPr>
        <w:t xml:space="preserve"> local, dedicated team based in the Sacramento area focused on providing public sector services.</w:t>
      </w:r>
    </w:p>
    <w:p w14:paraId="206B8865" w14:textId="77777777" w:rsidR="00670613" w:rsidRDefault="00670613" w:rsidP="00670613">
      <w:pPr>
        <w:pStyle w:val="CS-IBMResponseText"/>
        <w:spacing w:line="259" w:lineRule="auto"/>
        <w:rPr>
          <w:rFonts w:eastAsia="Century Gothic" w:cs="Century Gothic"/>
          <w:color w:val="0D0D0D" w:themeColor="text2" w:themeTint="F2"/>
          <w:szCs w:val="22"/>
        </w:rPr>
      </w:pPr>
      <w:r w:rsidRPr="45572E76">
        <w:rPr>
          <w:rFonts w:eastAsia="Century Gothic" w:cs="Century Gothic"/>
          <w:color w:val="0D0D0D" w:themeColor="text2" w:themeTint="F2"/>
          <w:szCs w:val="22"/>
        </w:rPr>
        <w:t>Speridian was selected by Team IBM to assist with the independent test plan, execution, and reporting as many of their resources have prior experience with California Health and Human Services engagement, including those at CalWIN. Speridian bring highly qualified and knowledgeable resources who have performed test and quality assurance services, and who are knowledgeable with the CalSAWS environment and the Consortium.</w:t>
      </w:r>
    </w:p>
    <w:p w14:paraId="7E39C2AB" w14:textId="77777777" w:rsidR="003678E0" w:rsidRDefault="003678E0" w:rsidP="003678E0">
      <w:pPr>
        <w:spacing w:before="0" w:after="0"/>
      </w:pPr>
      <w:r>
        <w:t>Speridian Technologies will be responsible for IBM’s scope of work related to independent test planning, execution, and reporting. This includes:</w:t>
      </w:r>
    </w:p>
    <w:p w14:paraId="08EE2544" w14:textId="77777777" w:rsidR="003678E0" w:rsidRDefault="003678E0" w:rsidP="003678E0">
      <w:pPr>
        <w:pStyle w:val="ListParagraph"/>
        <w:numPr>
          <w:ilvl w:val="0"/>
          <w:numId w:val="1"/>
        </w:numPr>
        <w:spacing w:before="0" w:after="0"/>
        <w:rPr>
          <w:color w:val="000000" w:themeColor="text2"/>
        </w:rPr>
      </w:pPr>
      <w:r w:rsidRPr="45572E76">
        <w:rPr>
          <w:color w:val="000000" w:themeColor="text2"/>
        </w:rPr>
        <w:t>Deliverable for Independent Test Plan and Operational Working Documents</w:t>
      </w:r>
    </w:p>
    <w:p w14:paraId="33186105" w14:textId="77777777" w:rsidR="003678E0" w:rsidRDefault="003678E0" w:rsidP="003678E0">
      <w:pPr>
        <w:pStyle w:val="ListParagraph"/>
        <w:numPr>
          <w:ilvl w:val="0"/>
          <w:numId w:val="1"/>
        </w:numPr>
        <w:spacing w:before="0" w:after="0"/>
        <w:rPr>
          <w:color w:val="000000" w:themeColor="text2"/>
        </w:rPr>
      </w:pPr>
      <w:r w:rsidRPr="45572E76">
        <w:rPr>
          <w:color w:val="000000" w:themeColor="text2"/>
        </w:rPr>
        <w:t>Management of Independent Test Plan/Management</w:t>
      </w:r>
    </w:p>
    <w:p w14:paraId="494EC2F3" w14:textId="77777777" w:rsidR="003678E0" w:rsidRDefault="003678E0" w:rsidP="003678E0">
      <w:pPr>
        <w:pStyle w:val="ListParagraph"/>
        <w:numPr>
          <w:ilvl w:val="0"/>
          <w:numId w:val="1"/>
        </w:numPr>
        <w:spacing w:before="0" w:after="0"/>
        <w:rPr>
          <w:color w:val="000000" w:themeColor="text2"/>
        </w:rPr>
      </w:pPr>
      <w:r w:rsidRPr="45572E76">
        <w:rPr>
          <w:color w:val="000000" w:themeColor="text2"/>
        </w:rPr>
        <w:t>Development of Independent Test</w:t>
      </w:r>
    </w:p>
    <w:p w14:paraId="6D99BEB7" w14:textId="77777777" w:rsidR="003678E0" w:rsidRDefault="003678E0" w:rsidP="003678E0">
      <w:pPr>
        <w:pStyle w:val="ListParagraph"/>
        <w:numPr>
          <w:ilvl w:val="0"/>
          <w:numId w:val="1"/>
        </w:numPr>
        <w:spacing w:before="0" w:after="0"/>
        <w:rPr>
          <w:color w:val="000000" w:themeColor="text2"/>
        </w:rPr>
      </w:pPr>
      <w:r w:rsidRPr="45572E76">
        <w:rPr>
          <w:color w:val="000000" w:themeColor="text2"/>
        </w:rPr>
        <w:t>Execution of Independent Test and Reporting</w:t>
      </w:r>
    </w:p>
    <w:p w14:paraId="585C56BE" w14:textId="49D327F8" w:rsidR="00670613" w:rsidRDefault="00670613" w:rsidP="00752430">
      <w:pPr>
        <w:pStyle w:val="CS-IBMResponseText"/>
        <w:spacing w:line="259" w:lineRule="auto"/>
      </w:pPr>
      <w:r w:rsidRPr="45572E76">
        <w:rPr>
          <w:color w:val="0D0D0D" w:themeColor="text2" w:themeTint="F2"/>
          <w:szCs w:val="22"/>
        </w:rPr>
        <w:lastRenderedPageBreak/>
        <w:t xml:space="preserve">Speridian will </w:t>
      </w:r>
      <w:r w:rsidR="003678E0">
        <w:rPr>
          <w:color w:val="0D0D0D" w:themeColor="text2" w:themeTint="F2"/>
          <w:szCs w:val="22"/>
        </w:rPr>
        <w:t xml:space="preserve">also </w:t>
      </w:r>
      <w:r w:rsidRPr="45572E76">
        <w:rPr>
          <w:color w:val="0D0D0D" w:themeColor="text2" w:themeTint="F2"/>
          <w:szCs w:val="22"/>
        </w:rPr>
        <w:t xml:space="preserve">bring to Team IBM a key staff resource for QA Services Test Manager, who possesses over 40 years of experience in health and human services including over 25 years dedicated to Quality Assurance Management. </w:t>
      </w:r>
    </w:p>
    <w:p w14:paraId="35D3CDB6" w14:textId="2A318834" w:rsidR="006629ED" w:rsidRPr="00752430" w:rsidRDefault="003678E0" w:rsidP="00752430">
      <w:pPr>
        <w:pStyle w:val="CS-IBMResponseText"/>
        <w:spacing w:line="259" w:lineRule="auto"/>
      </w:pPr>
      <w:r>
        <w:t xml:space="preserve">The </w:t>
      </w:r>
      <w:r w:rsidR="00670613">
        <w:t xml:space="preserve">key staff qualification sheet and references are included with this </w:t>
      </w:r>
      <w:proofErr w:type="gramStart"/>
      <w:r w:rsidR="00670613">
        <w:t>proposal</w:t>
      </w:r>
      <w:proofErr w:type="gramEnd"/>
      <w:r w:rsidR="00670613">
        <w:t xml:space="preserve"> submission.</w:t>
      </w:r>
    </w:p>
    <w:p w14:paraId="35461AB6" w14:textId="2115F3D8" w:rsidR="00670613" w:rsidRDefault="002E4BFC" w:rsidP="00752430">
      <w:pPr>
        <w:spacing w:before="120" w:after="120"/>
        <w:rPr>
          <w:color w:val="000000" w:themeColor="text2"/>
        </w:rPr>
      </w:pPr>
      <w:r>
        <w:rPr>
          <w:color w:val="000000" w:themeColor="text2"/>
        </w:rPr>
        <w:t xml:space="preserve">Speridian’s work </w:t>
      </w:r>
      <w:r w:rsidR="000701D0">
        <w:rPr>
          <w:color w:val="000000" w:themeColor="text2"/>
        </w:rPr>
        <w:t xml:space="preserve">breakdown as follows is based on the </w:t>
      </w:r>
      <w:r w:rsidR="000701D0">
        <w:t xml:space="preserve">percentage of </w:t>
      </w:r>
      <w:r w:rsidR="007A18F1">
        <w:t>w</w:t>
      </w:r>
      <w:r w:rsidR="000701D0">
        <w:t>ork during the base contract period</w:t>
      </w:r>
      <w:r w:rsidR="00D168C9">
        <w:t>, which averages 20% over the base contract term</w:t>
      </w:r>
      <w:r w:rsidR="000701D0">
        <w:t xml:space="preserve">. This </w:t>
      </w:r>
      <w:r w:rsidR="00056443">
        <w:t xml:space="preserve">percentage </w:t>
      </w:r>
      <w:r w:rsidR="001D57E5">
        <w:t xml:space="preserve">is an estimate only </w:t>
      </w:r>
      <w:r w:rsidR="0024432C">
        <w:t xml:space="preserve">and </w:t>
      </w:r>
      <w:r w:rsidR="00AD1D91">
        <w:t xml:space="preserve">is </w:t>
      </w:r>
      <w:r w:rsidR="000701D0">
        <w:t xml:space="preserve">subject to change </w:t>
      </w:r>
      <w:r w:rsidR="001F2A65">
        <w:t xml:space="preserve">contingent upon final </w:t>
      </w:r>
      <w:r w:rsidR="000701D0">
        <w:t>BAFO p</w:t>
      </w:r>
      <w:r w:rsidR="00F87D9C">
        <w:t>rice negotiation</w:t>
      </w:r>
      <w:r w:rsidR="00064CCD">
        <w:t>s and contract award.</w:t>
      </w:r>
    </w:p>
    <w:p w14:paraId="12EFD647" w14:textId="77777777" w:rsidR="00D92192" w:rsidRDefault="00D92192" w:rsidP="00670613">
      <w:pPr>
        <w:spacing w:before="0" w:after="0"/>
        <w:rPr>
          <w:color w:val="000000" w:themeColor="text2"/>
        </w:rPr>
      </w:pPr>
    </w:p>
    <w:p w14:paraId="055EFD46" w14:textId="6A5CD466" w:rsidR="0054161A" w:rsidRDefault="0054161A" w:rsidP="0054161A">
      <w:pPr>
        <w:pStyle w:val="Caption"/>
        <w:keepNext/>
        <w:jc w:val="center"/>
      </w:pPr>
      <w:bookmarkStart w:id="13" w:name="_Toc213061872"/>
      <w:r>
        <w:t xml:space="preserve">Table </w:t>
      </w:r>
      <w:r>
        <w:fldChar w:fldCharType="begin"/>
      </w:r>
      <w:r>
        <w:instrText xml:space="preserve"> SEQ Table \* ARABIC </w:instrText>
      </w:r>
      <w:r>
        <w:fldChar w:fldCharType="separate"/>
      </w:r>
      <w:r>
        <w:rPr>
          <w:noProof/>
        </w:rPr>
        <w:t>1</w:t>
      </w:r>
      <w:r>
        <w:fldChar w:fldCharType="end"/>
      </w:r>
      <w:r>
        <w:t xml:space="preserve"> Subcontractor Work by SFY</w:t>
      </w:r>
      <w:bookmarkEnd w:id="13"/>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170"/>
        <w:gridCol w:w="1170"/>
        <w:gridCol w:w="1170"/>
        <w:gridCol w:w="1080"/>
        <w:gridCol w:w="1170"/>
        <w:gridCol w:w="1080"/>
        <w:gridCol w:w="1165"/>
      </w:tblGrid>
      <w:tr w:rsidR="008E7D11" w:rsidRPr="008E7D11" w14:paraId="2418BAED" w14:textId="5128570C" w:rsidTr="008B4458">
        <w:trPr>
          <w:cnfStyle w:val="100000000000" w:firstRow="1" w:lastRow="0" w:firstColumn="0" w:lastColumn="0" w:oddVBand="0" w:evenVBand="0" w:oddHBand="0" w:evenHBand="0" w:firstRowFirstColumn="0" w:firstRowLastColumn="0" w:lastRowFirstColumn="0" w:lastRowLastColumn="0"/>
        </w:trPr>
        <w:tc>
          <w:tcPr>
            <w:tcW w:w="1340" w:type="dxa"/>
            <w:shd w:val="clear" w:color="auto" w:fill="0070C0"/>
          </w:tcPr>
          <w:p w14:paraId="0ABC5BD7" w14:textId="1C8FD8B9" w:rsidR="008E7D11" w:rsidRPr="008B4458" w:rsidRDefault="008E7D11" w:rsidP="45572E76">
            <w:pPr>
              <w:pStyle w:val="CS-IBMResponseText"/>
              <w:spacing w:line="259" w:lineRule="auto"/>
              <w:rPr>
                <w:b/>
                <w:bCs/>
                <w:color w:val="FFFFFF" w:themeColor="background1"/>
                <w:sz w:val="20"/>
                <w:szCs w:val="20"/>
              </w:rPr>
            </w:pPr>
            <w:r w:rsidRPr="008B4458">
              <w:rPr>
                <w:b/>
                <w:bCs/>
                <w:color w:val="FFFFFF" w:themeColor="background1"/>
                <w:sz w:val="20"/>
                <w:szCs w:val="20"/>
              </w:rPr>
              <w:t>SFY</w:t>
            </w:r>
          </w:p>
        </w:tc>
        <w:tc>
          <w:tcPr>
            <w:tcW w:w="1170" w:type="dxa"/>
            <w:shd w:val="clear" w:color="auto" w:fill="0070C0"/>
          </w:tcPr>
          <w:p w14:paraId="771C1062" w14:textId="2171BB35" w:rsidR="008E7D11" w:rsidRPr="008B4458" w:rsidRDefault="008E7D11" w:rsidP="45572E76">
            <w:pPr>
              <w:pStyle w:val="CS-IBMResponseText"/>
              <w:spacing w:line="259" w:lineRule="auto"/>
              <w:rPr>
                <w:b/>
                <w:bCs/>
                <w:color w:val="FFFFFF" w:themeColor="background1"/>
                <w:sz w:val="20"/>
                <w:szCs w:val="20"/>
              </w:rPr>
            </w:pPr>
            <w:r w:rsidRPr="008B4458">
              <w:rPr>
                <w:b/>
                <w:bCs/>
                <w:color w:val="FFFFFF" w:themeColor="background1"/>
                <w:sz w:val="20"/>
                <w:szCs w:val="20"/>
              </w:rPr>
              <w:t>2026-27</w:t>
            </w:r>
          </w:p>
        </w:tc>
        <w:tc>
          <w:tcPr>
            <w:tcW w:w="1170" w:type="dxa"/>
            <w:shd w:val="clear" w:color="auto" w:fill="0070C0"/>
          </w:tcPr>
          <w:p w14:paraId="0AAD722C" w14:textId="547DAF78" w:rsidR="008E7D11" w:rsidRPr="008B4458" w:rsidRDefault="008E7D11" w:rsidP="45572E76">
            <w:pPr>
              <w:pStyle w:val="CS-IBMResponseText"/>
              <w:spacing w:line="259" w:lineRule="auto"/>
              <w:rPr>
                <w:b/>
                <w:bCs/>
                <w:color w:val="FFFFFF" w:themeColor="background1"/>
                <w:sz w:val="20"/>
                <w:szCs w:val="20"/>
              </w:rPr>
            </w:pPr>
            <w:r w:rsidRPr="008B4458">
              <w:rPr>
                <w:b/>
                <w:bCs/>
                <w:color w:val="FFFFFF" w:themeColor="background1"/>
                <w:sz w:val="20"/>
                <w:szCs w:val="20"/>
              </w:rPr>
              <w:t>2027-28</w:t>
            </w:r>
          </w:p>
        </w:tc>
        <w:tc>
          <w:tcPr>
            <w:tcW w:w="1170" w:type="dxa"/>
            <w:shd w:val="clear" w:color="auto" w:fill="0070C0"/>
          </w:tcPr>
          <w:p w14:paraId="3B01AB1F" w14:textId="6C735806" w:rsidR="008E7D11" w:rsidRPr="008B4458" w:rsidRDefault="008E7D11" w:rsidP="45572E76">
            <w:pPr>
              <w:pStyle w:val="CS-IBMResponseText"/>
              <w:spacing w:line="259" w:lineRule="auto"/>
              <w:rPr>
                <w:b/>
                <w:bCs/>
                <w:color w:val="FFFFFF" w:themeColor="background1"/>
                <w:sz w:val="20"/>
                <w:szCs w:val="20"/>
              </w:rPr>
            </w:pPr>
            <w:r w:rsidRPr="008B4458">
              <w:rPr>
                <w:b/>
                <w:bCs/>
                <w:color w:val="FFFFFF" w:themeColor="background1"/>
                <w:sz w:val="20"/>
                <w:szCs w:val="20"/>
              </w:rPr>
              <w:t>2028-29</w:t>
            </w:r>
          </w:p>
        </w:tc>
        <w:tc>
          <w:tcPr>
            <w:tcW w:w="1080" w:type="dxa"/>
            <w:shd w:val="clear" w:color="auto" w:fill="0070C0"/>
          </w:tcPr>
          <w:p w14:paraId="4A0E9363" w14:textId="7CF2556D" w:rsidR="008E7D11" w:rsidRPr="008B4458" w:rsidRDefault="008E7D11" w:rsidP="45572E76">
            <w:pPr>
              <w:pStyle w:val="CS-IBMResponseText"/>
              <w:spacing w:line="259" w:lineRule="auto"/>
              <w:rPr>
                <w:b/>
                <w:bCs/>
                <w:color w:val="FFFFFF" w:themeColor="background1"/>
                <w:sz w:val="20"/>
                <w:szCs w:val="20"/>
              </w:rPr>
            </w:pPr>
            <w:r w:rsidRPr="008B4458">
              <w:rPr>
                <w:b/>
                <w:bCs/>
                <w:color w:val="FFFFFF" w:themeColor="background1"/>
                <w:sz w:val="20"/>
                <w:szCs w:val="20"/>
              </w:rPr>
              <w:t>2029-30</w:t>
            </w:r>
          </w:p>
        </w:tc>
        <w:tc>
          <w:tcPr>
            <w:tcW w:w="1170" w:type="dxa"/>
            <w:shd w:val="clear" w:color="auto" w:fill="0070C0"/>
          </w:tcPr>
          <w:p w14:paraId="2C390F9D" w14:textId="47877764" w:rsidR="008E7D11" w:rsidRPr="008B4458" w:rsidRDefault="008E7D11" w:rsidP="45572E76">
            <w:pPr>
              <w:pStyle w:val="CS-IBMResponseText"/>
              <w:spacing w:line="259" w:lineRule="auto"/>
              <w:rPr>
                <w:b/>
                <w:bCs/>
                <w:color w:val="FFFFFF" w:themeColor="background1"/>
                <w:sz w:val="20"/>
                <w:szCs w:val="20"/>
              </w:rPr>
            </w:pPr>
            <w:r w:rsidRPr="008B4458">
              <w:rPr>
                <w:b/>
                <w:bCs/>
                <w:color w:val="FFFFFF" w:themeColor="background1"/>
                <w:sz w:val="20"/>
                <w:szCs w:val="20"/>
              </w:rPr>
              <w:t>2030-31</w:t>
            </w:r>
          </w:p>
        </w:tc>
        <w:tc>
          <w:tcPr>
            <w:tcW w:w="1080" w:type="dxa"/>
            <w:shd w:val="clear" w:color="auto" w:fill="0070C0"/>
          </w:tcPr>
          <w:p w14:paraId="05F95227" w14:textId="6005B333" w:rsidR="008E7D11" w:rsidRPr="008B4458" w:rsidRDefault="008E7D11" w:rsidP="45572E76">
            <w:pPr>
              <w:pStyle w:val="CS-IBMResponseText"/>
              <w:spacing w:line="259" w:lineRule="auto"/>
              <w:rPr>
                <w:b/>
                <w:bCs/>
                <w:color w:val="FFFFFF" w:themeColor="background1"/>
                <w:sz w:val="20"/>
                <w:szCs w:val="20"/>
              </w:rPr>
            </w:pPr>
            <w:r w:rsidRPr="008B4458">
              <w:rPr>
                <w:b/>
                <w:bCs/>
                <w:color w:val="FFFFFF" w:themeColor="background1"/>
                <w:sz w:val="20"/>
                <w:szCs w:val="20"/>
              </w:rPr>
              <w:t>2031-32</w:t>
            </w:r>
          </w:p>
        </w:tc>
        <w:tc>
          <w:tcPr>
            <w:tcW w:w="1165" w:type="dxa"/>
            <w:shd w:val="clear" w:color="auto" w:fill="0070C0"/>
          </w:tcPr>
          <w:p w14:paraId="13A036F0" w14:textId="79713A7A" w:rsidR="008E7D11" w:rsidRPr="008B4458" w:rsidRDefault="008E7D11" w:rsidP="45572E76">
            <w:pPr>
              <w:pStyle w:val="CS-IBMResponseText"/>
              <w:spacing w:line="259" w:lineRule="auto"/>
              <w:rPr>
                <w:b/>
                <w:bCs/>
                <w:color w:val="FFFFFF" w:themeColor="background1"/>
                <w:sz w:val="20"/>
                <w:szCs w:val="20"/>
              </w:rPr>
            </w:pPr>
            <w:r w:rsidRPr="008B4458">
              <w:rPr>
                <w:b/>
                <w:bCs/>
                <w:color w:val="FFFFFF" w:themeColor="background1"/>
                <w:sz w:val="20"/>
                <w:szCs w:val="20"/>
              </w:rPr>
              <w:t>2032-33</w:t>
            </w:r>
          </w:p>
        </w:tc>
      </w:tr>
      <w:tr w:rsidR="008E7D11" w:rsidRPr="008E7D11" w14:paraId="25F7BF64" w14:textId="48706DD1" w:rsidTr="008E7D11">
        <w:tc>
          <w:tcPr>
            <w:tcW w:w="1340" w:type="dxa"/>
          </w:tcPr>
          <w:p w14:paraId="63C7D51C" w14:textId="2016F510" w:rsidR="008E7D11" w:rsidRPr="008E7D11" w:rsidRDefault="008E7D11" w:rsidP="45572E76">
            <w:pPr>
              <w:pStyle w:val="CS-IBMResponseText"/>
              <w:spacing w:line="259" w:lineRule="auto"/>
              <w:rPr>
                <w:color w:val="auto"/>
                <w:sz w:val="20"/>
                <w:szCs w:val="20"/>
              </w:rPr>
            </w:pPr>
            <w:r w:rsidRPr="008E7D11">
              <w:rPr>
                <w:color w:val="auto"/>
                <w:sz w:val="20"/>
                <w:szCs w:val="20"/>
              </w:rPr>
              <w:t>% of work</w:t>
            </w:r>
          </w:p>
        </w:tc>
        <w:tc>
          <w:tcPr>
            <w:tcW w:w="1170" w:type="dxa"/>
          </w:tcPr>
          <w:p w14:paraId="04478A29" w14:textId="7D6A3E6C" w:rsidR="008E7D11" w:rsidRPr="008E7D11" w:rsidRDefault="008E7D11" w:rsidP="45572E76">
            <w:pPr>
              <w:pStyle w:val="CS-IBMResponseText"/>
              <w:spacing w:line="259" w:lineRule="auto"/>
              <w:rPr>
                <w:color w:val="auto"/>
                <w:sz w:val="20"/>
                <w:szCs w:val="20"/>
              </w:rPr>
            </w:pPr>
            <w:r w:rsidRPr="008E7D11">
              <w:rPr>
                <w:color w:val="auto"/>
                <w:sz w:val="20"/>
                <w:szCs w:val="20"/>
              </w:rPr>
              <w:t>19%</w:t>
            </w:r>
          </w:p>
        </w:tc>
        <w:tc>
          <w:tcPr>
            <w:tcW w:w="1170" w:type="dxa"/>
          </w:tcPr>
          <w:p w14:paraId="478C0B74" w14:textId="3FE106EE" w:rsidR="008E7D11" w:rsidRPr="008E7D11" w:rsidRDefault="008E7D11" w:rsidP="45572E76">
            <w:pPr>
              <w:pStyle w:val="CS-IBMResponseText"/>
              <w:spacing w:line="259" w:lineRule="auto"/>
              <w:rPr>
                <w:color w:val="auto"/>
                <w:sz w:val="20"/>
                <w:szCs w:val="20"/>
              </w:rPr>
            </w:pPr>
            <w:r w:rsidRPr="008E7D11">
              <w:rPr>
                <w:color w:val="auto"/>
                <w:sz w:val="20"/>
                <w:szCs w:val="20"/>
              </w:rPr>
              <w:t>32%</w:t>
            </w:r>
          </w:p>
        </w:tc>
        <w:tc>
          <w:tcPr>
            <w:tcW w:w="1170" w:type="dxa"/>
          </w:tcPr>
          <w:p w14:paraId="62A042B2" w14:textId="09318A73" w:rsidR="008E7D11" w:rsidRPr="008E7D11" w:rsidRDefault="008E7D11" w:rsidP="45572E76">
            <w:pPr>
              <w:pStyle w:val="CS-IBMResponseText"/>
              <w:spacing w:line="259" w:lineRule="auto"/>
              <w:rPr>
                <w:color w:val="auto"/>
                <w:sz w:val="20"/>
                <w:szCs w:val="20"/>
              </w:rPr>
            </w:pPr>
            <w:r w:rsidRPr="008E7D11">
              <w:rPr>
                <w:color w:val="auto"/>
                <w:sz w:val="20"/>
                <w:szCs w:val="20"/>
              </w:rPr>
              <w:t>27%</w:t>
            </w:r>
          </w:p>
        </w:tc>
        <w:tc>
          <w:tcPr>
            <w:tcW w:w="1080" w:type="dxa"/>
          </w:tcPr>
          <w:p w14:paraId="392B9389" w14:textId="53279CDA" w:rsidR="008E7D11" w:rsidRPr="008E7D11" w:rsidRDefault="008E7D11" w:rsidP="45572E76">
            <w:pPr>
              <w:pStyle w:val="CS-IBMResponseText"/>
              <w:spacing w:line="259" w:lineRule="auto"/>
              <w:rPr>
                <w:color w:val="auto"/>
                <w:sz w:val="20"/>
                <w:szCs w:val="20"/>
              </w:rPr>
            </w:pPr>
            <w:r w:rsidRPr="008E7D11">
              <w:rPr>
                <w:color w:val="auto"/>
                <w:sz w:val="20"/>
                <w:szCs w:val="20"/>
              </w:rPr>
              <w:t>13%</w:t>
            </w:r>
          </w:p>
        </w:tc>
        <w:tc>
          <w:tcPr>
            <w:tcW w:w="1170" w:type="dxa"/>
          </w:tcPr>
          <w:p w14:paraId="57C7C5AF" w14:textId="31B93981" w:rsidR="008E7D11" w:rsidRPr="008E7D11" w:rsidRDefault="008E7D11" w:rsidP="45572E76">
            <w:pPr>
              <w:pStyle w:val="CS-IBMResponseText"/>
              <w:spacing w:line="259" w:lineRule="auto"/>
              <w:rPr>
                <w:color w:val="auto"/>
                <w:sz w:val="20"/>
                <w:szCs w:val="20"/>
              </w:rPr>
            </w:pPr>
            <w:r w:rsidRPr="008E7D11">
              <w:rPr>
                <w:color w:val="auto"/>
                <w:sz w:val="20"/>
                <w:szCs w:val="20"/>
              </w:rPr>
              <w:t>0</w:t>
            </w:r>
          </w:p>
        </w:tc>
        <w:tc>
          <w:tcPr>
            <w:tcW w:w="1080" w:type="dxa"/>
          </w:tcPr>
          <w:p w14:paraId="24439099" w14:textId="29DFC954" w:rsidR="008E7D11" w:rsidRPr="008E7D11" w:rsidRDefault="008E7D11" w:rsidP="45572E76">
            <w:pPr>
              <w:pStyle w:val="CS-IBMResponseText"/>
              <w:spacing w:line="259" w:lineRule="auto"/>
              <w:rPr>
                <w:color w:val="auto"/>
                <w:sz w:val="20"/>
                <w:szCs w:val="20"/>
              </w:rPr>
            </w:pPr>
            <w:r w:rsidRPr="008E7D11">
              <w:rPr>
                <w:color w:val="auto"/>
                <w:sz w:val="20"/>
                <w:szCs w:val="20"/>
              </w:rPr>
              <w:t>0</w:t>
            </w:r>
          </w:p>
        </w:tc>
        <w:tc>
          <w:tcPr>
            <w:tcW w:w="1165" w:type="dxa"/>
          </w:tcPr>
          <w:p w14:paraId="1C31CCC9" w14:textId="11D15993" w:rsidR="008E7D11" w:rsidRPr="008E7D11" w:rsidRDefault="008E7D11" w:rsidP="45572E76">
            <w:pPr>
              <w:pStyle w:val="CS-IBMResponseText"/>
              <w:spacing w:line="259" w:lineRule="auto"/>
              <w:rPr>
                <w:color w:val="auto"/>
                <w:sz w:val="20"/>
                <w:szCs w:val="20"/>
              </w:rPr>
            </w:pPr>
            <w:r w:rsidRPr="008E7D11">
              <w:rPr>
                <w:color w:val="auto"/>
                <w:sz w:val="20"/>
                <w:szCs w:val="20"/>
              </w:rPr>
              <w:t>0</w:t>
            </w:r>
          </w:p>
        </w:tc>
      </w:tr>
    </w:tbl>
    <w:p w14:paraId="6C93A7B6" w14:textId="3FB16646" w:rsidR="45572E76" w:rsidRDefault="45572E76" w:rsidP="45572E76">
      <w:pPr>
        <w:pStyle w:val="CS-IBMResponseText"/>
        <w:spacing w:line="259" w:lineRule="auto"/>
      </w:pPr>
      <w:r w:rsidRPr="45572E76">
        <w:rPr>
          <w:b/>
          <w:bCs/>
        </w:rPr>
        <w:t>KAI Partners, LLC.,</w:t>
      </w:r>
      <w:r>
        <w:t xml:space="preserve"> a Veteran-Owned Small Business, has over 20 years of experience supporting public sector transformation initiatives. Their team brings strategic thinking, technological expertise, and a human-centered approach to complex systems integration. With a strong track record in California’s Health and Human Services programs, KAI Partners has played a key role in driving innovation and operational clarity within CalSAWS. Their consultants are known for fostering collaboration, applying proven frameworks, and delivering sustainable change that aligns with client missions and community needs.</w:t>
      </w:r>
    </w:p>
    <w:p w14:paraId="63157D0C" w14:textId="20C836BE" w:rsidR="00B87DC9" w:rsidRPr="00F200B9" w:rsidRDefault="000B615E" w:rsidP="00F200B9">
      <w:pPr>
        <w:pStyle w:val="CS-RFPBodyText"/>
        <w:rPr>
          <w:color w:val="0D0D0D" w:themeColor="text1" w:themeTint="F2"/>
        </w:rPr>
      </w:pPr>
      <w:r w:rsidRPr="00F200B9">
        <w:rPr>
          <w:color w:val="0D0D0D" w:themeColor="text1" w:themeTint="F2"/>
        </w:rPr>
        <w:t xml:space="preserve">KAI Partners </w:t>
      </w:r>
      <w:r w:rsidR="009E4D3B" w:rsidRPr="00F200B9">
        <w:rPr>
          <w:color w:val="0D0D0D" w:themeColor="text1" w:themeTint="F2"/>
        </w:rPr>
        <w:t>is providing</w:t>
      </w:r>
      <w:r w:rsidRPr="00F200B9">
        <w:rPr>
          <w:color w:val="0D0D0D" w:themeColor="text1" w:themeTint="F2"/>
        </w:rPr>
        <w:t xml:space="preserve"> </w:t>
      </w:r>
      <w:r w:rsidR="00187E60">
        <w:rPr>
          <w:color w:val="0D0D0D" w:themeColor="text1" w:themeTint="F2"/>
        </w:rPr>
        <w:t>one (1)</w:t>
      </w:r>
      <w:r w:rsidRPr="00F200B9">
        <w:rPr>
          <w:color w:val="0D0D0D" w:themeColor="text1" w:themeTint="F2"/>
        </w:rPr>
        <w:t xml:space="preserve"> key staff resource, the QA </w:t>
      </w:r>
      <w:r w:rsidR="00761700" w:rsidRPr="00F200B9">
        <w:rPr>
          <w:color w:val="0D0D0D" w:themeColor="text1" w:themeTint="F2"/>
        </w:rPr>
        <w:t xml:space="preserve">Services </w:t>
      </w:r>
      <w:r w:rsidRPr="00F200B9">
        <w:rPr>
          <w:color w:val="0D0D0D" w:themeColor="text1" w:themeTint="F2"/>
        </w:rPr>
        <w:t>Functional Manager</w:t>
      </w:r>
      <w:r w:rsidR="00F627DF">
        <w:rPr>
          <w:color w:val="0D0D0D" w:themeColor="text1" w:themeTint="F2"/>
        </w:rPr>
        <w:t>, for the QA Services effort</w:t>
      </w:r>
      <w:r w:rsidRPr="00F200B9">
        <w:rPr>
          <w:color w:val="0D0D0D" w:themeColor="text1" w:themeTint="F2"/>
        </w:rPr>
        <w:t xml:space="preserve">. </w:t>
      </w:r>
      <w:r w:rsidR="003B07A2" w:rsidRPr="00F200B9">
        <w:rPr>
          <w:color w:val="0D0D0D" w:themeColor="text1" w:themeTint="F2"/>
        </w:rPr>
        <w:t>The work to be performed by KAI Partners</w:t>
      </w:r>
      <w:r w:rsidR="004D3FE1" w:rsidRPr="00F200B9">
        <w:rPr>
          <w:color w:val="0D0D0D" w:themeColor="text1" w:themeTint="F2"/>
        </w:rPr>
        <w:t xml:space="preserve"> </w:t>
      </w:r>
      <w:r w:rsidR="00F200B9" w:rsidRPr="00F200B9">
        <w:rPr>
          <w:color w:val="0D0D0D" w:themeColor="text1" w:themeTint="F2"/>
        </w:rPr>
        <w:t xml:space="preserve">equates to less than 20% of the </w:t>
      </w:r>
      <w:r w:rsidR="00D453C7">
        <w:rPr>
          <w:color w:val="0D0D0D" w:themeColor="text1" w:themeTint="F2"/>
        </w:rPr>
        <w:t>work</w:t>
      </w:r>
      <w:r w:rsidR="00F200B9" w:rsidRPr="00F200B9">
        <w:rPr>
          <w:color w:val="0D0D0D" w:themeColor="text1" w:themeTint="F2"/>
        </w:rPr>
        <w:t xml:space="preserve"> during the base contract period.</w:t>
      </w:r>
    </w:p>
    <w:p w14:paraId="1DEA3B57" w14:textId="77777777" w:rsidR="0021571B" w:rsidRDefault="0021571B" w:rsidP="45572E76">
      <w:pPr>
        <w:pStyle w:val="CS-RFPBodyText"/>
      </w:pPr>
    </w:p>
    <w:p w14:paraId="5D22E66F" w14:textId="65D92682" w:rsidR="00A94583" w:rsidRDefault="00A94583">
      <w:pPr>
        <w:spacing w:before="0" w:after="0"/>
      </w:pPr>
      <w:r>
        <w:br w:type="page"/>
      </w:r>
    </w:p>
    <w:p w14:paraId="0F5BC3F6" w14:textId="77777777" w:rsidR="00A94583" w:rsidRPr="00AB0D6B" w:rsidRDefault="00A94583" w:rsidP="00A94583">
      <w:pPr>
        <w:pStyle w:val="Heading2"/>
        <w:numPr>
          <w:ilvl w:val="0"/>
          <w:numId w:val="0"/>
        </w:numPr>
        <w:ind w:left="576" w:hanging="576"/>
      </w:pPr>
      <w:bookmarkStart w:id="14" w:name="_Toc212406904"/>
      <w:bookmarkStart w:id="15" w:name="_Toc213084244"/>
      <w:r>
        <w:lastRenderedPageBreak/>
        <w:t>Appendix A: IBM D&amp;B</w:t>
      </w:r>
      <w:bookmarkEnd w:id="14"/>
      <w:bookmarkEnd w:id="15"/>
    </w:p>
    <w:p w14:paraId="4E796AD7" w14:textId="77777777" w:rsidR="00A94583" w:rsidRDefault="00A94583" w:rsidP="00A94583">
      <w:pPr>
        <w:pStyle w:val="CS-IBMResponseText"/>
      </w:pPr>
    </w:p>
    <w:p w14:paraId="230495F8" w14:textId="1C0A61B0" w:rsidR="00A94583" w:rsidRDefault="00F00C3C" w:rsidP="00A94583">
      <w:pPr>
        <w:pStyle w:val="CS-IBMResponseText"/>
      </w:pPr>
      <w:r>
        <w:object w:dxaOrig="1513" w:dyaOrig="985" w14:anchorId="5A6C0F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65pt;height:49.25pt" o:ole="">
            <v:imagedata r:id="rId36" o:title=""/>
          </v:shape>
          <o:OLEObject Type="Embed" ProgID="Acrobat.Document.DC" ShapeID="_x0000_i1027" DrawAspect="Icon" ObjectID="_1823697034" r:id="rId37"/>
        </w:object>
      </w:r>
    </w:p>
    <w:p w14:paraId="01FA1919" w14:textId="77777777" w:rsidR="00A94583" w:rsidRDefault="00A94583" w:rsidP="00A94583">
      <w:pPr>
        <w:pStyle w:val="CS-IBMResponseText"/>
      </w:pPr>
      <w:r w:rsidRPr="00BC776E">
        <w:rPr>
          <w:noProof/>
        </w:rPr>
        <w:lastRenderedPageBreak/>
        <w:drawing>
          <wp:inline distT="0" distB="0" distL="0" distR="0" wp14:anchorId="4CE90EF4" wp14:editId="23EF81AE">
            <wp:extent cx="5943600" cy="7592060"/>
            <wp:effectExtent l="0" t="0" r="0" b="8890"/>
            <wp:docPr id="2079370251"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370251" name="Picture 1" descr="A screenshot of a document&#10;&#10;AI-generated content may be incorrect."/>
                    <pic:cNvPicPr/>
                  </pic:nvPicPr>
                  <pic:blipFill>
                    <a:blip r:embed="rId38"/>
                    <a:stretch>
                      <a:fillRect/>
                    </a:stretch>
                  </pic:blipFill>
                  <pic:spPr>
                    <a:xfrm>
                      <a:off x="0" y="0"/>
                      <a:ext cx="5943600" cy="7592060"/>
                    </a:xfrm>
                    <a:prstGeom prst="rect">
                      <a:avLst/>
                    </a:prstGeom>
                  </pic:spPr>
                </pic:pic>
              </a:graphicData>
            </a:graphic>
          </wp:inline>
        </w:drawing>
      </w:r>
    </w:p>
    <w:p w14:paraId="72A18AED" w14:textId="77777777" w:rsidR="00A94583" w:rsidRDefault="00A94583" w:rsidP="00A94583">
      <w:pPr>
        <w:pStyle w:val="CS-IBMResponseText"/>
      </w:pPr>
    </w:p>
    <w:p w14:paraId="3A5BA4CE" w14:textId="77777777" w:rsidR="00A94583" w:rsidRDefault="00A94583" w:rsidP="00A94583">
      <w:pPr>
        <w:pStyle w:val="CS-IBMResponseText"/>
      </w:pPr>
    </w:p>
    <w:p w14:paraId="68CE433B" w14:textId="77777777" w:rsidR="00A94583" w:rsidRDefault="00A94583" w:rsidP="00A94583">
      <w:pPr>
        <w:pStyle w:val="CS-IBMResponseText"/>
      </w:pPr>
      <w:r w:rsidRPr="00737E3B">
        <w:rPr>
          <w:noProof/>
        </w:rPr>
        <w:lastRenderedPageBreak/>
        <w:drawing>
          <wp:inline distT="0" distB="0" distL="0" distR="0" wp14:anchorId="364EBE4A" wp14:editId="05E6DAB4">
            <wp:extent cx="5943600" cy="7774940"/>
            <wp:effectExtent l="0" t="0" r="0" b="0"/>
            <wp:docPr id="885345168" name="Picture 1" descr="A screenshot of a contact p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345168" name="Picture 1" descr="A screenshot of a contact page&#10;&#10;AI-generated content may be incorrect."/>
                    <pic:cNvPicPr/>
                  </pic:nvPicPr>
                  <pic:blipFill>
                    <a:blip r:embed="rId39"/>
                    <a:stretch>
                      <a:fillRect/>
                    </a:stretch>
                  </pic:blipFill>
                  <pic:spPr>
                    <a:xfrm>
                      <a:off x="0" y="0"/>
                      <a:ext cx="5943600" cy="7774940"/>
                    </a:xfrm>
                    <a:prstGeom prst="rect">
                      <a:avLst/>
                    </a:prstGeom>
                  </pic:spPr>
                </pic:pic>
              </a:graphicData>
            </a:graphic>
          </wp:inline>
        </w:drawing>
      </w:r>
    </w:p>
    <w:p w14:paraId="4BF62AD0" w14:textId="77777777" w:rsidR="00A94583" w:rsidRDefault="00A94583" w:rsidP="00A94583">
      <w:pPr>
        <w:pStyle w:val="CS-IBMResponseText"/>
      </w:pPr>
    </w:p>
    <w:p w14:paraId="3DD55B7C" w14:textId="77777777" w:rsidR="00A94583" w:rsidRDefault="00A94583" w:rsidP="00A94583">
      <w:pPr>
        <w:pStyle w:val="CS-IBMResponseText"/>
      </w:pPr>
    </w:p>
    <w:p w14:paraId="3D23696E" w14:textId="77777777" w:rsidR="00A94583" w:rsidRDefault="00A94583" w:rsidP="00A94583">
      <w:pPr>
        <w:pStyle w:val="CS-IBMResponseText"/>
      </w:pPr>
      <w:r w:rsidRPr="00737E3B">
        <w:rPr>
          <w:noProof/>
        </w:rPr>
        <w:lastRenderedPageBreak/>
        <w:drawing>
          <wp:inline distT="0" distB="0" distL="0" distR="0" wp14:anchorId="0460D940" wp14:editId="127B2606">
            <wp:extent cx="5943600" cy="7814310"/>
            <wp:effectExtent l="0" t="0" r="0" b="0"/>
            <wp:docPr id="62520848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08481" name="Picture 1" descr="A screenshot of a computer&#10;&#10;AI-generated content may be incorrect."/>
                    <pic:cNvPicPr/>
                  </pic:nvPicPr>
                  <pic:blipFill>
                    <a:blip r:embed="rId40"/>
                    <a:stretch>
                      <a:fillRect/>
                    </a:stretch>
                  </pic:blipFill>
                  <pic:spPr>
                    <a:xfrm>
                      <a:off x="0" y="0"/>
                      <a:ext cx="5943600" cy="7814310"/>
                    </a:xfrm>
                    <a:prstGeom prst="rect">
                      <a:avLst/>
                    </a:prstGeom>
                  </pic:spPr>
                </pic:pic>
              </a:graphicData>
            </a:graphic>
          </wp:inline>
        </w:drawing>
      </w:r>
    </w:p>
    <w:p w14:paraId="12908272" w14:textId="77777777" w:rsidR="00A94583" w:rsidRDefault="00A94583" w:rsidP="00A94583">
      <w:pPr>
        <w:pStyle w:val="CS-IBMResponseText"/>
      </w:pPr>
    </w:p>
    <w:p w14:paraId="56A725FD" w14:textId="77777777" w:rsidR="00A850D0" w:rsidRPr="00A850D0" w:rsidRDefault="00A850D0" w:rsidP="00082BA4">
      <w:pPr>
        <w:spacing w:before="0" w:after="0"/>
      </w:pPr>
    </w:p>
    <w:sectPr w:rsidR="00A850D0" w:rsidRPr="00A850D0" w:rsidSect="008E7D11">
      <w:headerReference w:type="default" r:id="rId41"/>
      <w:footerReference w:type="default" r:id="rId42"/>
      <w:pgSz w:w="12240" w:h="15840" w:code="1"/>
      <w:pgMar w:top="1323" w:right="1440" w:bottom="1197" w:left="1440" w:header="504" w:footer="423"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A93569" w14:textId="77777777" w:rsidR="006B3761" w:rsidRDefault="006B3761" w:rsidP="00C25E9E">
      <w:r>
        <w:separator/>
      </w:r>
    </w:p>
    <w:p w14:paraId="6E72D542" w14:textId="77777777" w:rsidR="006B3761" w:rsidRDefault="006B3761" w:rsidP="00C25E9E"/>
    <w:p w14:paraId="466C3631" w14:textId="77777777" w:rsidR="006B3761" w:rsidRDefault="006B3761"/>
    <w:p w14:paraId="4067E153" w14:textId="77777777" w:rsidR="006B3761" w:rsidRDefault="006B3761"/>
    <w:p w14:paraId="6C3BF9BA" w14:textId="77777777" w:rsidR="006B3761" w:rsidRDefault="006B3761"/>
  </w:endnote>
  <w:endnote w:type="continuationSeparator" w:id="0">
    <w:p w14:paraId="10F259BC" w14:textId="77777777" w:rsidR="006B3761" w:rsidRDefault="006B3761" w:rsidP="00C25E9E">
      <w:r>
        <w:continuationSeparator/>
      </w:r>
    </w:p>
    <w:p w14:paraId="3C693A8B" w14:textId="77777777" w:rsidR="006B3761" w:rsidRDefault="006B3761" w:rsidP="00C25E9E"/>
    <w:p w14:paraId="2BF7B7A5" w14:textId="77777777" w:rsidR="006B3761" w:rsidRDefault="006B3761"/>
    <w:p w14:paraId="594D03EA" w14:textId="77777777" w:rsidR="006B3761" w:rsidRDefault="006B3761"/>
    <w:p w14:paraId="7A9C1314" w14:textId="77777777" w:rsidR="006B3761" w:rsidRDefault="006B37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altName w:val="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IBM Plex Sans">
    <w:panose1 w:val="020B0503050203000203"/>
    <w:charset w:val="00"/>
    <w:family w:val="swiss"/>
    <w:pitch w:val="variable"/>
    <w:sig w:usb0="A00002EF" w:usb1="5000203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old">
    <w:altName w:val="Arial"/>
    <w:panose1 w:val="020B07040202020202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C7E98" w14:textId="7895B4FE" w:rsidR="00E72660" w:rsidRPr="005232E1" w:rsidRDefault="00E948FB" w:rsidP="00D57F1D">
    <w:pPr>
      <w:pStyle w:val="CS-IBMFooter"/>
    </w:pPr>
    <w:r w:rsidRPr="001B3A39">
      <w:t>© 202</w:t>
    </w:r>
    <w:r w:rsidR="006E58A3">
      <w:t>5</w:t>
    </w:r>
    <w:r w:rsidRPr="001B3A39">
      <w:t xml:space="preserve"> IBM Corporation</w:t>
    </w:r>
    <w:r w:rsidRPr="005232E1">
      <w:tab/>
    </w:r>
    <w:r w:rsidRPr="005232E1">
      <w:tab/>
    </w:r>
    <w:r w:rsidR="00D57F1D">
      <w:tab/>
    </w:r>
    <w:r w:rsidR="00D57F1D">
      <w:tab/>
    </w:r>
    <w:r w:rsidR="00D57F1D">
      <w:tab/>
    </w:r>
    <w:r w:rsidR="00D57F1D">
      <w:tab/>
    </w:r>
    <w:r w:rsidR="00D57F1D">
      <w:tab/>
    </w:r>
    <w:r w:rsidR="00D57F1D">
      <w:tab/>
    </w:r>
    <w:r w:rsidR="00D57F1D">
      <w:tab/>
    </w:r>
    <w:r w:rsidR="001C6D47">
      <w:t xml:space="preserve">             </w:t>
    </w:r>
    <w:r w:rsidRPr="005232E1">
      <w:t xml:space="preserve">Page | </w:t>
    </w:r>
    <w:r w:rsidRPr="005232E1">
      <w:fldChar w:fldCharType="begin"/>
    </w:r>
    <w:r w:rsidRPr="005232E1">
      <w:instrText xml:space="preserve"> PAGE </w:instrText>
    </w:r>
    <w:r w:rsidRPr="005232E1">
      <w:fldChar w:fldCharType="separate"/>
    </w:r>
    <w:r w:rsidRPr="005232E1">
      <w:t>1</w:t>
    </w:r>
    <w:r w:rsidRPr="005232E1">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8D178" w14:textId="57D388E0" w:rsidR="00E1306C" w:rsidRPr="005232E1" w:rsidRDefault="00405EF5" w:rsidP="00D57F1D">
    <w:pPr>
      <w:pStyle w:val="CS-IBMFooter"/>
    </w:pPr>
    <w:r w:rsidRPr="001B3A39">
      <w:t>© 202</w:t>
    </w:r>
    <w:r w:rsidR="006E58A3">
      <w:t>5</w:t>
    </w:r>
    <w:r w:rsidRPr="001B3A39">
      <w:t xml:space="preserve"> IBM Corporation</w:t>
    </w:r>
    <w:r w:rsidRPr="005232E1">
      <w:tab/>
    </w:r>
    <w:r w:rsidRPr="005232E1">
      <w:tab/>
    </w:r>
    <w:r w:rsidR="00D57F1D">
      <w:tab/>
    </w:r>
    <w:r w:rsidR="00D57F1D">
      <w:tab/>
    </w:r>
    <w:r w:rsidR="00D57F1D">
      <w:tab/>
    </w:r>
    <w:r w:rsidR="00D57F1D">
      <w:tab/>
    </w:r>
    <w:r w:rsidR="00D57F1D">
      <w:tab/>
    </w:r>
    <w:r w:rsidR="00D57F1D">
      <w:tab/>
    </w:r>
    <w:r w:rsidR="00D57F1D">
      <w:tab/>
    </w:r>
    <w:r w:rsidR="007B385B">
      <w:t xml:space="preserve">          </w:t>
    </w:r>
    <w:r w:rsidRPr="005232E1">
      <w:t xml:space="preserve">Page | </w:t>
    </w:r>
    <w:r w:rsidRPr="005232E1">
      <w:fldChar w:fldCharType="begin"/>
    </w:r>
    <w:r w:rsidRPr="005232E1">
      <w:instrText xml:space="preserve"> PAGE </w:instrText>
    </w:r>
    <w:r w:rsidRPr="005232E1">
      <w:fldChar w:fldCharType="separate"/>
    </w:r>
    <w:r w:rsidRPr="005232E1">
      <w:t>4</w:t>
    </w:r>
    <w:r w:rsidRPr="005232E1">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A53929" w14:textId="77777777" w:rsidR="006B3761" w:rsidRDefault="006B3761" w:rsidP="00C25E9E">
      <w:r>
        <w:separator/>
      </w:r>
    </w:p>
    <w:p w14:paraId="3E8EC0B2" w14:textId="77777777" w:rsidR="006B3761" w:rsidRDefault="006B3761" w:rsidP="00C25E9E"/>
    <w:p w14:paraId="05834E99" w14:textId="77777777" w:rsidR="006B3761" w:rsidRDefault="006B3761"/>
    <w:p w14:paraId="196B0692" w14:textId="77777777" w:rsidR="006B3761" w:rsidRDefault="006B3761"/>
    <w:p w14:paraId="39E7D15A" w14:textId="77777777" w:rsidR="006B3761" w:rsidRDefault="006B3761"/>
  </w:footnote>
  <w:footnote w:type="continuationSeparator" w:id="0">
    <w:p w14:paraId="6659A0DD" w14:textId="77777777" w:rsidR="006B3761" w:rsidRDefault="006B3761" w:rsidP="00C25E9E">
      <w:r>
        <w:continuationSeparator/>
      </w:r>
    </w:p>
    <w:p w14:paraId="177D3054" w14:textId="77777777" w:rsidR="006B3761" w:rsidRDefault="006B3761" w:rsidP="00C25E9E"/>
    <w:p w14:paraId="38B3CB86" w14:textId="77777777" w:rsidR="006B3761" w:rsidRDefault="006B3761"/>
    <w:p w14:paraId="6493B8AE" w14:textId="77777777" w:rsidR="006B3761" w:rsidRDefault="006B3761"/>
    <w:p w14:paraId="1220E5B9" w14:textId="77777777" w:rsidR="006B3761" w:rsidRDefault="006B37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D64CF" w14:textId="77777777" w:rsidR="004D7D12" w:rsidRDefault="004D7D12" w:rsidP="00324ACB">
    <w:pPr>
      <w:pStyle w:val="CS-IBMHeader"/>
      <w:pBdr>
        <w:bottom w:val="none" w:sz="0" w:space="0" w:color="auto"/>
      </w:pBdr>
      <w:spacing w:after="0"/>
      <w:rPr>
        <w:rFonts w:cs="Times New Roman"/>
      </w:rPr>
    </w:pPr>
    <w:r w:rsidRPr="004D7D12">
      <w:rPr>
        <w:rFonts w:cs="Times New Roman"/>
      </w:rPr>
      <w:t>California Statewide Automated Welfare System</w:t>
    </w:r>
    <w:r>
      <w:rPr>
        <w:rFonts w:cs="Times New Roman"/>
      </w:rPr>
      <w:t xml:space="preserve"> (</w:t>
    </w:r>
    <w:r w:rsidR="0008081E" w:rsidRPr="0008081E">
      <w:rPr>
        <w:rFonts w:cs="Times New Roman"/>
      </w:rPr>
      <w:t>CalSAWS</w:t>
    </w:r>
    <w:r>
      <w:rPr>
        <w:rFonts w:cs="Times New Roman"/>
      </w:rPr>
      <w:t>)</w:t>
    </w:r>
  </w:p>
  <w:p w14:paraId="24A7AB3C" w14:textId="7AA0CB2B" w:rsidR="00206614" w:rsidRPr="002A65F1" w:rsidRDefault="004D7D12" w:rsidP="00324ACB">
    <w:pPr>
      <w:pStyle w:val="CS-IBMHeader"/>
      <w:pBdr>
        <w:bottom w:val="none" w:sz="0" w:space="0" w:color="auto"/>
      </w:pBdr>
      <w:spacing w:after="0"/>
      <w:rPr>
        <w:rFonts w:cs="Times New Roman"/>
        <w:highlight w:val="yellow"/>
      </w:rPr>
    </w:pPr>
    <w:r>
      <w:rPr>
        <w:rFonts w:cs="Times New Roman"/>
      </w:rPr>
      <w:t>Q</w:t>
    </w:r>
    <w:r w:rsidR="0008081E" w:rsidRPr="0008081E">
      <w:rPr>
        <w:rFonts w:cs="Times New Roman"/>
      </w:rPr>
      <w:t>uality Assurance (QA) Services RFP #01-2025</w:t>
    </w:r>
    <w:r w:rsidR="00206614" w:rsidRPr="00206614">
      <w:rPr>
        <w:rFonts w:cs="Times New Roman"/>
        <w:highlight w:val="yellow"/>
      </w:rPr>
      <w:drawing>
        <wp:anchor distT="0" distB="0" distL="114300" distR="114300" simplePos="0" relativeHeight="251658240" behindDoc="1" locked="0" layoutInCell="1" allowOverlap="1" wp14:anchorId="55F27EBC" wp14:editId="52F4C5EB">
          <wp:simplePos x="0" y="0"/>
          <wp:positionH relativeFrom="margin">
            <wp:align>right</wp:align>
          </wp:positionH>
          <wp:positionV relativeFrom="paragraph">
            <wp:posOffset>3387</wp:posOffset>
          </wp:positionV>
          <wp:extent cx="1157605" cy="158115"/>
          <wp:effectExtent l="0" t="0" r="4445" b="0"/>
          <wp:wrapNone/>
          <wp:docPr id="999477185" name="Picture 999477185">
            <a:extLst xmlns:a="http://schemas.openxmlformats.org/drawingml/2006/main">
              <a:ext uri="{FF2B5EF4-FFF2-40B4-BE49-F238E27FC236}">
                <a16:creationId xmlns:a16="http://schemas.microsoft.com/office/drawing/2014/main" id="{439CF450-60B5-0440-9E64-DF3B7ECC47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39CF450-60B5-0440-9E64-DF3B7ECC478F}"/>
                      </a:ext>
                    </a:extLst>
                  </pic:cNvPr>
                  <pic:cNvPicPr>
                    <a:picLocks noChangeAspect="1"/>
                  </pic:cNvPicPr>
                </pic:nvPicPr>
                <pic:blipFill>
                  <a:blip r:embed="rId1" cstate="print">
                    <a:lum bright="-40000" contrast="-40000"/>
                    <a:extLst>
                      <a:ext uri="{28A0092B-C50C-407E-A947-70E740481C1C}">
                        <a14:useLocalDpi xmlns:a14="http://schemas.microsoft.com/office/drawing/2010/main" val="0"/>
                      </a:ext>
                    </a:extLst>
                  </a:blip>
                  <a:stretch>
                    <a:fillRect/>
                  </a:stretch>
                </pic:blipFill>
                <pic:spPr>
                  <a:xfrm>
                    <a:off x="0" y="0"/>
                    <a:ext cx="1157605" cy="158115"/>
                  </a:xfrm>
                  <a:prstGeom prst="rect">
                    <a:avLst/>
                  </a:prstGeom>
                </pic:spPr>
              </pic:pic>
            </a:graphicData>
          </a:graphic>
          <wp14:sizeRelH relativeFrom="page">
            <wp14:pctWidth>0</wp14:pctWidth>
          </wp14:sizeRelH>
          <wp14:sizeRelV relativeFrom="page">
            <wp14:pctHeight>0</wp14:pctHeight>
          </wp14:sizeRelV>
        </wp:anchor>
      </w:drawing>
    </w:r>
  </w:p>
  <w:p w14:paraId="4F60D0DF" w14:textId="77777777" w:rsidR="00877442" w:rsidRDefault="00877442" w:rsidP="00314784">
    <w:pPr>
      <w:pBdr>
        <w:bottom w:val="single" w:sz="4" w:space="1" w:color="7F7F7F"/>
      </w:pBdr>
      <w:spacing w:before="0" w:after="0"/>
    </w:pPr>
  </w:p>
  <w:p w14:paraId="5039DE11" w14:textId="77777777" w:rsidR="00E948FB" w:rsidRPr="00877442" w:rsidRDefault="00E948FB" w:rsidP="00877442">
    <w:pPr>
      <w:pStyle w:val="Header"/>
      <w:pBdr>
        <w:bottom w:val="none" w:sz="0" w:space="0" w:color="auto"/>
      </w:pBdr>
      <w:spacing w:befor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07185" w14:textId="77777777" w:rsidR="004D7D12" w:rsidRDefault="004D7D12" w:rsidP="004D7D12">
    <w:pPr>
      <w:pStyle w:val="CS-IBMHeader"/>
      <w:pBdr>
        <w:bottom w:val="none" w:sz="0" w:space="0" w:color="auto"/>
      </w:pBdr>
      <w:spacing w:after="0"/>
      <w:rPr>
        <w:rFonts w:cs="Times New Roman"/>
      </w:rPr>
    </w:pPr>
    <w:r w:rsidRPr="004D7D12">
      <w:rPr>
        <w:rFonts w:cs="Times New Roman"/>
      </w:rPr>
      <w:t>California Statewide Automated Welfare System</w:t>
    </w:r>
    <w:r>
      <w:rPr>
        <w:rFonts w:cs="Times New Roman"/>
      </w:rPr>
      <w:t xml:space="preserve"> (</w:t>
    </w:r>
    <w:r w:rsidRPr="0008081E">
      <w:rPr>
        <w:rFonts w:cs="Times New Roman"/>
      </w:rPr>
      <w:t>CalSAWS</w:t>
    </w:r>
    <w:r>
      <w:rPr>
        <w:rFonts w:cs="Times New Roman"/>
      </w:rPr>
      <w:t>)</w:t>
    </w:r>
  </w:p>
  <w:p w14:paraId="442FC9D7" w14:textId="77777777" w:rsidR="004D7D12" w:rsidRPr="002A65F1" w:rsidRDefault="004D7D12" w:rsidP="004D7D12">
    <w:pPr>
      <w:pStyle w:val="CS-IBMHeader"/>
      <w:pBdr>
        <w:bottom w:val="none" w:sz="0" w:space="0" w:color="auto"/>
      </w:pBdr>
      <w:spacing w:after="0"/>
      <w:rPr>
        <w:rFonts w:cs="Times New Roman"/>
        <w:highlight w:val="yellow"/>
      </w:rPr>
    </w:pPr>
    <w:r>
      <w:rPr>
        <w:rFonts w:cs="Times New Roman"/>
      </w:rPr>
      <w:t>Q</w:t>
    </w:r>
    <w:r w:rsidRPr="0008081E">
      <w:rPr>
        <w:rFonts w:cs="Times New Roman"/>
      </w:rPr>
      <w:t>uality Assurance (QA) Services RFP #01-2025</w:t>
    </w:r>
    <w:r w:rsidRPr="00206614">
      <w:rPr>
        <w:rFonts w:cs="Times New Roman"/>
        <w:highlight w:val="yellow"/>
      </w:rPr>
      <w:drawing>
        <wp:anchor distT="0" distB="0" distL="114300" distR="114300" simplePos="0" relativeHeight="251658241" behindDoc="1" locked="0" layoutInCell="1" allowOverlap="1" wp14:anchorId="279856EA" wp14:editId="1A4B2374">
          <wp:simplePos x="0" y="0"/>
          <wp:positionH relativeFrom="margin">
            <wp:align>right</wp:align>
          </wp:positionH>
          <wp:positionV relativeFrom="paragraph">
            <wp:posOffset>3387</wp:posOffset>
          </wp:positionV>
          <wp:extent cx="1157605" cy="158115"/>
          <wp:effectExtent l="0" t="0" r="4445" b="0"/>
          <wp:wrapNone/>
          <wp:docPr id="1340454700" name="Picture 1340454700">
            <a:extLst xmlns:a="http://schemas.openxmlformats.org/drawingml/2006/main">
              <a:ext uri="{FF2B5EF4-FFF2-40B4-BE49-F238E27FC236}">
                <a16:creationId xmlns:a16="http://schemas.microsoft.com/office/drawing/2014/main" id="{439CF450-60B5-0440-9E64-DF3B7ECC47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39CF450-60B5-0440-9E64-DF3B7ECC478F}"/>
                      </a:ext>
                    </a:extLst>
                  </pic:cNvPr>
                  <pic:cNvPicPr>
                    <a:picLocks noChangeAspect="1"/>
                  </pic:cNvPicPr>
                </pic:nvPicPr>
                <pic:blipFill>
                  <a:blip r:embed="rId1" cstate="print">
                    <a:lum bright="-40000" contrast="-40000"/>
                    <a:extLst>
                      <a:ext uri="{28A0092B-C50C-407E-A947-70E740481C1C}">
                        <a14:useLocalDpi xmlns:a14="http://schemas.microsoft.com/office/drawing/2010/main" val="0"/>
                      </a:ext>
                    </a:extLst>
                  </a:blip>
                  <a:stretch>
                    <a:fillRect/>
                  </a:stretch>
                </pic:blipFill>
                <pic:spPr>
                  <a:xfrm>
                    <a:off x="0" y="0"/>
                    <a:ext cx="1157605" cy="158115"/>
                  </a:xfrm>
                  <a:prstGeom prst="rect">
                    <a:avLst/>
                  </a:prstGeom>
                </pic:spPr>
              </pic:pic>
            </a:graphicData>
          </a:graphic>
          <wp14:sizeRelH relativeFrom="page">
            <wp14:pctWidth>0</wp14:pctWidth>
          </wp14:sizeRelH>
          <wp14:sizeRelV relativeFrom="page">
            <wp14:pctHeight>0</wp14:pctHeight>
          </wp14:sizeRelV>
        </wp:anchor>
      </w:drawing>
    </w:r>
  </w:p>
  <w:p w14:paraId="785F24BA" w14:textId="77777777" w:rsidR="004D7D12" w:rsidRDefault="004D7D12" w:rsidP="004D7D12">
    <w:pPr>
      <w:pBdr>
        <w:bottom w:val="single" w:sz="4" w:space="1" w:color="7F7F7F"/>
      </w:pBdr>
      <w:spacing w:before="0" w:after="0"/>
    </w:pPr>
  </w:p>
  <w:p w14:paraId="7510FBC9" w14:textId="77777777" w:rsidR="004D7D12" w:rsidRPr="00877442" w:rsidRDefault="004D7D12" w:rsidP="004D7D12">
    <w:pPr>
      <w:pStyle w:val="Header"/>
      <w:pBdr>
        <w:bottom w:val="none" w:sz="0" w:space="0" w:color="auto"/>
      </w:pBdr>
      <w:spacing w:befor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04056C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6E0B4C"/>
    <w:multiLevelType w:val="hybridMultilevel"/>
    <w:tmpl w:val="D0F62728"/>
    <w:lvl w:ilvl="0" w:tplc="FFFFFFFF">
      <w:start w:val="1"/>
      <w:numFmt w:val="bullet"/>
      <w:pStyle w:val="CS-IBMBullet1"/>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8D0FC4"/>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09AC462C"/>
    <w:multiLevelType w:val="multilevel"/>
    <w:tmpl w:val="E0E675CC"/>
    <w:lvl w:ilvl="0">
      <w:start w:val="2"/>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09DC78C3"/>
    <w:multiLevelType w:val="hybridMultilevel"/>
    <w:tmpl w:val="3FF63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FD3913"/>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20BBDA28"/>
    <w:multiLevelType w:val="hybridMultilevel"/>
    <w:tmpl w:val="F10291C2"/>
    <w:lvl w:ilvl="0" w:tplc="4AFC04F6">
      <w:start w:val="1"/>
      <w:numFmt w:val="bullet"/>
      <w:lvlText w:val=""/>
      <w:lvlJc w:val="left"/>
      <w:pPr>
        <w:ind w:left="720" w:hanging="360"/>
      </w:pPr>
      <w:rPr>
        <w:rFonts w:ascii="Symbol" w:hAnsi="Symbol" w:hint="default"/>
      </w:rPr>
    </w:lvl>
    <w:lvl w:ilvl="1" w:tplc="8F58A596">
      <w:start w:val="1"/>
      <w:numFmt w:val="bullet"/>
      <w:lvlText w:val="o"/>
      <w:lvlJc w:val="left"/>
      <w:pPr>
        <w:ind w:left="1440" w:hanging="360"/>
      </w:pPr>
      <w:rPr>
        <w:rFonts w:ascii="Courier New" w:hAnsi="Courier New" w:hint="default"/>
      </w:rPr>
    </w:lvl>
    <w:lvl w:ilvl="2" w:tplc="E1E6C93E">
      <w:start w:val="1"/>
      <w:numFmt w:val="bullet"/>
      <w:lvlText w:val=""/>
      <w:lvlJc w:val="left"/>
      <w:pPr>
        <w:ind w:left="2160" w:hanging="360"/>
      </w:pPr>
      <w:rPr>
        <w:rFonts w:ascii="Wingdings" w:hAnsi="Wingdings" w:hint="default"/>
      </w:rPr>
    </w:lvl>
    <w:lvl w:ilvl="3" w:tplc="CDEED52A">
      <w:start w:val="1"/>
      <w:numFmt w:val="bullet"/>
      <w:lvlText w:val=""/>
      <w:lvlJc w:val="left"/>
      <w:pPr>
        <w:ind w:left="2880" w:hanging="360"/>
      </w:pPr>
      <w:rPr>
        <w:rFonts w:ascii="Symbol" w:hAnsi="Symbol" w:hint="default"/>
      </w:rPr>
    </w:lvl>
    <w:lvl w:ilvl="4" w:tplc="551A1DE6">
      <w:start w:val="1"/>
      <w:numFmt w:val="bullet"/>
      <w:lvlText w:val="o"/>
      <w:lvlJc w:val="left"/>
      <w:pPr>
        <w:ind w:left="3600" w:hanging="360"/>
      </w:pPr>
      <w:rPr>
        <w:rFonts w:ascii="Courier New" w:hAnsi="Courier New" w:hint="default"/>
      </w:rPr>
    </w:lvl>
    <w:lvl w:ilvl="5" w:tplc="6A001C82">
      <w:start w:val="1"/>
      <w:numFmt w:val="bullet"/>
      <w:lvlText w:val=""/>
      <w:lvlJc w:val="left"/>
      <w:pPr>
        <w:ind w:left="4320" w:hanging="360"/>
      </w:pPr>
      <w:rPr>
        <w:rFonts w:ascii="Wingdings" w:hAnsi="Wingdings" w:hint="default"/>
      </w:rPr>
    </w:lvl>
    <w:lvl w:ilvl="6" w:tplc="F92A5F72">
      <w:start w:val="1"/>
      <w:numFmt w:val="bullet"/>
      <w:lvlText w:val=""/>
      <w:lvlJc w:val="left"/>
      <w:pPr>
        <w:ind w:left="5040" w:hanging="360"/>
      </w:pPr>
      <w:rPr>
        <w:rFonts w:ascii="Symbol" w:hAnsi="Symbol" w:hint="default"/>
      </w:rPr>
    </w:lvl>
    <w:lvl w:ilvl="7" w:tplc="F6FCA1AE">
      <w:start w:val="1"/>
      <w:numFmt w:val="bullet"/>
      <w:lvlText w:val="o"/>
      <w:lvlJc w:val="left"/>
      <w:pPr>
        <w:ind w:left="5760" w:hanging="360"/>
      </w:pPr>
      <w:rPr>
        <w:rFonts w:ascii="Courier New" w:hAnsi="Courier New" w:hint="default"/>
      </w:rPr>
    </w:lvl>
    <w:lvl w:ilvl="8" w:tplc="030C59F0">
      <w:start w:val="1"/>
      <w:numFmt w:val="bullet"/>
      <w:lvlText w:val=""/>
      <w:lvlJc w:val="left"/>
      <w:pPr>
        <w:ind w:left="6480" w:hanging="360"/>
      </w:pPr>
      <w:rPr>
        <w:rFonts w:ascii="Wingdings" w:hAnsi="Wingdings" w:hint="default"/>
      </w:rPr>
    </w:lvl>
  </w:abstractNum>
  <w:abstractNum w:abstractNumId="7" w15:restartNumberingAfterBreak="0">
    <w:nsid w:val="21A8512B"/>
    <w:multiLevelType w:val="hybridMultilevel"/>
    <w:tmpl w:val="093A6DC8"/>
    <w:lvl w:ilvl="0" w:tplc="FFFFFFFF">
      <w:start w:val="1"/>
      <w:numFmt w:val="bullet"/>
      <w:pStyle w:val="CS-IBMBullet2"/>
      <w:lvlText w:val=""/>
      <w:lvlJc w:val="left"/>
      <w:pPr>
        <w:ind w:left="717" w:hanging="360"/>
      </w:pPr>
      <w:rPr>
        <w:rFonts w:ascii="Symbol" w:hAnsi="Symbol" w:hint="default"/>
        <w:color w:val="000000" w:themeColor="text1"/>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8" w15:restartNumberingAfterBreak="0">
    <w:nsid w:val="2C9622B8"/>
    <w:multiLevelType w:val="hybridMultilevel"/>
    <w:tmpl w:val="49DC03A6"/>
    <w:lvl w:ilvl="0" w:tplc="3D36B8BC">
      <w:start w:val="1"/>
      <w:numFmt w:val="bullet"/>
      <w:pStyle w:val="CS-IBMCoverLetter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92438C"/>
    <w:multiLevelType w:val="hybridMultilevel"/>
    <w:tmpl w:val="CF601D26"/>
    <w:lvl w:ilvl="0" w:tplc="25C67A2E">
      <w:start w:val="1"/>
      <w:numFmt w:val="bullet"/>
      <w:pStyle w:val="CS-RFPBullet4"/>
      <w:lvlText w:val=""/>
      <w:lvlJc w:val="left"/>
      <w:pPr>
        <w:ind w:left="1437"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F092127"/>
    <w:multiLevelType w:val="hybridMultilevel"/>
    <w:tmpl w:val="6AEEB4F8"/>
    <w:lvl w:ilvl="0" w:tplc="1BBC45FC">
      <w:start w:val="1"/>
      <w:numFmt w:val="bullet"/>
      <w:pStyle w:val="CS-RFPBullet5"/>
      <w:lvlText w:val=""/>
      <w:lvlJc w:val="left"/>
      <w:pPr>
        <w:ind w:left="1800" w:hanging="360"/>
      </w:pPr>
      <w:rPr>
        <w:rFonts w:ascii="Wingdings" w:hAnsi="Wingdings" w:hint="default"/>
        <w:b w:val="0"/>
        <w:i w:val="0"/>
        <w:sz w:val="21"/>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15:restartNumberingAfterBreak="0">
    <w:nsid w:val="35EC5DCB"/>
    <w:multiLevelType w:val="hybridMultilevel"/>
    <w:tmpl w:val="F2AA1800"/>
    <w:lvl w:ilvl="0" w:tplc="0E3EB8B4">
      <w:start w:val="1"/>
      <w:numFmt w:val="bullet"/>
      <w:pStyle w:val="CS-IBMBullet5"/>
      <w:lvlText w:val=""/>
      <w:lvlJc w:val="left"/>
      <w:pPr>
        <w:ind w:left="1794" w:hanging="360"/>
      </w:pPr>
      <w:rPr>
        <w:rFonts w:ascii="Wingdings" w:hAnsi="Wingdings" w:hint="default"/>
      </w:rPr>
    </w:lvl>
    <w:lvl w:ilvl="1" w:tplc="34090003" w:tentative="1">
      <w:start w:val="1"/>
      <w:numFmt w:val="bullet"/>
      <w:lvlText w:val="o"/>
      <w:lvlJc w:val="left"/>
      <w:pPr>
        <w:ind w:left="2514" w:hanging="360"/>
      </w:pPr>
      <w:rPr>
        <w:rFonts w:ascii="Courier New" w:hAnsi="Courier New" w:cs="Courier New" w:hint="default"/>
      </w:rPr>
    </w:lvl>
    <w:lvl w:ilvl="2" w:tplc="34090005" w:tentative="1">
      <w:start w:val="1"/>
      <w:numFmt w:val="bullet"/>
      <w:lvlText w:val=""/>
      <w:lvlJc w:val="left"/>
      <w:pPr>
        <w:ind w:left="3234" w:hanging="360"/>
      </w:pPr>
      <w:rPr>
        <w:rFonts w:ascii="Wingdings" w:hAnsi="Wingdings" w:hint="default"/>
      </w:rPr>
    </w:lvl>
    <w:lvl w:ilvl="3" w:tplc="34090001" w:tentative="1">
      <w:start w:val="1"/>
      <w:numFmt w:val="bullet"/>
      <w:lvlText w:val=""/>
      <w:lvlJc w:val="left"/>
      <w:pPr>
        <w:ind w:left="3954" w:hanging="360"/>
      </w:pPr>
      <w:rPr>
        <w:rFonts w:ascii="Symbol" w:hAnsi="Symbol" w:hint="default"/>
      </w:rPr>
    </w:lvl>
    <w:lvl w:ilvl="4" w:tplc="34090003" w:tentative="1">
      <w:start w:val="1"/>
      <w:numFmt w:val="bullet"/>
      <w:lvlText w:val="o"/>
      <w:lvlJc w:val="left"/>
      <w:pPr>
        <w:ind w:left="4674" w:hanging="360"/>
      </w:pPr>
      <w:rPr>
        <w:rFonts w:ascii="Courier New" w:hAnsi="Courier New" w:cs="Courier New" w:hint="default"/>
      </w:rPr>
    </w:lvl>
    <w:lvl w:ilvl="5" w:tplc="34090005" w:tentative="1">
      <w:start w:val="1"/>
      <w:numFmt w:val="bullet"/>
      <w:lvlText w:val=""/>
      <w:lvlJc w:val="left"/>
      <w:pPr>
        <w:ind w:left="5394" w:hanging="360"/>
      </w:pPr>
      <w:rPr>
        <w:rFonts w:ascii="Wingdings" w:hAnsi="Wingdings" w:hint="default"/>
      </w:rPr>
    </w:lvl>
    <w:lvl w:ilvl="6" w:tplc="34090001" w:tentative="1">
      <w:start w:val="1"/>
      <w:numFmt w:val="bullet"/>
      <w:lvlText w:val=""/>
      <w:lvlJc w:val="left"/>
      <w:pPr>
        <w:ind w:left="6114" w:hanging="360"/>
      </w:pPr>
      <w:rPr>
        <w:rFonts w:ascii="Symbol" w:hAnsi="Symbol" w:hint="default"/>
      </w:rPr>
    </w:lvl>
    <w:lvl w:ilvl="7" w:tplc="34090003" w:tentative="1">
      <w:start w:val="1"/>
      <w:numFmt w:val="bullet"/>
      <w:lvlText w:val="o"/>
      <w:lvlJc w:val="left"/>
      <w:pPr>
        <w:ind w:left="6834" w:hanging="360"/>
      </w:pPr>
      <w:rPr>
        <w:rFonts w:ascii="Courier New" w:hAnsi="Courier New" w:cs="Courier New" w:hint="default"/>
      </w:rPr>
    </w:lvl>
    <w:lvl w:ilvl="8" w:tplc="34090005" w:tentative="1">
      <w:start w:val="1"/>
      <w:numFmt w:val="bullet"/>
      <w:lvlText w:val=""/>
      <w:lvlJc w:val="left"/>
      <w:pPr>
        <w:ind w:left="7554" w:hanging="360"/>
      </w:pPr>
      <w:rPr>
        <w:rFonts w:ascii="Wingdings" w:hAnsi="Wingdings" w:hint="default"/>
      </w:rPr>
    </w:lvl>
  </w:abstractNum>
  <w:abstractNum w:abstractNumId="12" w15:restartNumberingAfterBreak="0">
    <w:nsid w:val="394B2491"/>
    <w:multiLevelType w:val="hybridMultilevel"/>
    <w:tmpl w:val="4C96A748"/>
    <w:lvl w:ilvl="0" w:tplc="8FFAE510">
      <w:start w:val="1"/>
      <w:numFmt w:val="bullet"/>
      <w:pStyle w:val="CS-IBMTable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E8771ED"/>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3E8E0CB8"/>
    <w:multiLevelType w:val="hybridMultilevel"/>
    <w:tmpl w:val="21CE3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4C707F"/>
    <w:multiLevelType w:val="hybridMultilevel"/>
    <w:tmpl w:val="5808B432"/>
    <w:lvl w:ilvl="0" w:tplc="5DA281BA">
      <w:start w:val="1"/>
      <w:numFmt w:val="bullet"/>
      <w:pStyle w:val="CS-RFPBullet2"/>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A725F4"/>
    <w:multiLevelType w:val="hybridMultilevel"/>
    <w:tmpl w:val="6344A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C379C0"/>
    <w:multiLevelType w:val="hybridMultilevel"/>
    <w:tmpl w:val="4BAEA6EA"/>
    <w:lvl w:ilvl="0" w:tplc="6B6EC23E">
      <w:start w:val="1"/>
      <w:numFmt w:val="bullet"/>
      <w:pStyle w:val="CS-RFPBullet3"/>
      <w:lvlText w:val="o"/>
      <w:lvlJc w:val="left"/>
      <w:pPr>
        <w:ind w:left="1080" w:hanging="360"/>
      </w:pPr>
      <w:rPr>
        <w:rFonts w:ascii="Courier New" w:hAnsi="Courier New" w:cs="Courier New" w:hint="default"/>
        <w:b w:val="0"/>
        <w:i w:val="0"/>
        <w:caps w:val="0"/>
        <w:strike w:val="0"/>
        <w:dstrike w:val="0"/>
        <w:vanish w:val="0"/>
        <w:color w:val="0070C0"/>
        <w:kern w:val="0"/>
        <w:sz w:val="21"/>
        <w:u w:color="008ABF"/>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4A9F7EDD"/>
    <w:multiLevelType w:val="hybridMultilevel"/>
    <w:tmpl w:val="F46C841A"/>
    <w:lvl w:ilvl="0" w:tplc="1CF8B674">
      <w:start w:val="1"/>
      <w:numFmt w:val="bullet"/>
      <w:pStyle w:val="CS-IBMCalloutBullet"/>
      <w:lvlText w:val=""/>
      <w:lvlJc w:val="left"/>
      <w:pPr>
        <w:ind w:left="360" w:hanging="360"/>
      </w:pPr>
      <w:rPr>
        <w:rFonts w:ascii="Symbol" w:hAnsi="Symbol" w:hint="default"/>
      </w:rPr>
    </w:lvl>
    <w:lvl w:ilvl="1" w:tplc="9F865E86" w:tentative="1">
      <w:start w:val="1"/>
      <w:numFmt w:val="bullet"/>
      <w:lvlText w:val=""/>
      <w:lvlJc w:val="left"/>
      <w:pPr>
        <w:tabs>
          <w:tab w:val="num" w:pos="1440"/>
        </w:tabs>
        <w:ind w:left="1440" w:hanging="360"/>
      </w:pPr>
      <w:rPr>
        <w:rFonts w:ascii="Wingdings" w:hAnsi="Wingdings" w:hint="default"/>
      </w:rPr>
    </w:lvl>
    <w:lvl w:ilvl="2" w:tplc="A164212E" w:tentative="1">
      <w:start w:val="1"/>
      <w:numFmt w:val="bullet"/>
      <w:lvlText w:val=""/>
      <w:lvlJc w:val="left"/>
      <w:pPr>
        <w:tabs>
          <w:tab w:val="num" w:pos="2160"/>
        </w:tabs>
        <w:ind w:left="2160" w:hanging="360"/>
      </w:pPr>
      <w:rPr>
        <w:rFonts w:ascii="Wingdings" w:hAnsi="Wingdings" w:hint="default"/>
      </w:rPr>
    </w:lvl>
    <w:lvl w:ilvl="3" w:tplc="242C192A" w:tentative="1">
      <w:start w:val="1"/>
      <w:numFmt w:val="bullet"/>
      <w:lvlText w:val=""/>
      <w:lvlJc w:val="left"/>
      <w:pPr>
        <w:tabs>
          <w:tab w:val="num" w:pos="2880"/>
        </w:tabs>
        <w:ind w:left="2880" w:hanging="360"/>
      </w:pPr>
      <w:rPr>
        <w:rFonts w:ascii="Wingdings" w:hAnsi="Wingdings" w:hint="default"/>
      </w:rPr>
    </w:lvl>
    <w:lvl w:ilvl="4" w:tplc="D780F316" w:tentative="1">
      <w:start w:val="1"/>
      <w:numFmt w:val="bullet"/>
      <w:lvlText w:val=""/>
      <w:lvlJc w:val="left"/>
      <w:pPr>
        <w:tabs>
          <w:tab w:val="num" w:pos="3600"/>
        </w:tabs>
        <w:ind w:left="3600" w:hanging="360"/>
      </w:pPr>
      <w:rPr>
        <w:rFonts w:ascii="Wingdings" w:hAnsi="Wingdings" w:hint="default"/>
      </w:rPr>
    </w:lvl>
    <w:lvl w:ilvl="5" w:tplc="35B84D92" w:tentative="1">
      <w:start w:val="1"/>
      <w:numFmt w:val="bullet"/>
      <w:lvlText w:val=""/>
      <w:lvlJc w:val="left"/>
      <w:pPr>
        <w:tabs>
          <w:tab w:val="num" w:pos="4320"/>
        </w:tabs>
        <w:ind w:left="4320" w:hanging="360"/>
      </w:pPr>
      <w:rPr>
        <w:rFonts w:ascii="Wingdings" w:hAnsi="Wingdings" w:hint="default"/>
      </w:rPr>
    </w:lvl>
    <w:lvl w:ilvl="6" w:tplc="2B3875EA" w:tentative="1">
      <w:start w:val="1"/>
      <w:numFmt w:val="bullet"/>
      <w:lvlText w:val=""/>
      <w:lvlJc w:val="left"/>
      <w:pPr>
        <w:tabs>
          <w:tab w:val="num" w:pos="5040"/>
        </w:tabs>
        <w:ind w:left="5040" w:hanging="360"/>
      </w:pPr>
      <w:rPr>
        <w:rFonts w:ascii="Wingdings" w:hAnsi="Wingdings" w:hint="default"/>
      </w:rPr>
    </w:lvl>
    <w:lvl w:ilvl="7" w:tplc="F46EAF34" w:tentative="1">
      <w:start w:val="1"/>
      <w:numFmt w:val="bullet"/>
      <w:lvlText w:val=""/>
      <w:lvlJc w:val="left"/>
      <w:pPr>
        <w:tabs>
          <w:tab w:val="num" w:pos="5760"/>
        </w:tabs>
        <w:ind w:left="5760" w:hanging="360"/>
      </w:pPr>
      <w:rPr>
        <w:rFonts w:ascii="Wingdings" w:hAnsi="Wingdings" w:hint="default"/>
      </w:rPr>
    </w:lvl>
    <w:lvl w:ilvl="8" w:tplc="0040D2D0"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EBC5A02"/>
    <w:multiLevelType w:val="hybridMultilevel"/>
    <w:tmpl w:val="EAF41A8C"/>
    <w:lvl w:ilvl="0" w:tplc="FFFFFFFF">
      <w:start w:val="1"/>
      <w:numFmt w:val="bullet"/>
      <w:pStyle w:val="CS-RFPBullet1"/>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9F0175"/>
    <w:multiLevelType w:val="hybridMultilevel"/>
    <w:tmpl w:val="7C8EBD32"/>
    <w:lvl w:ilvl="0" w:tplc="C49E681C">
      <w:start w:val="1"/>
      <w:numFmt w:val="bullet"/>
      <w:lvlText w:val=""/>
      <w:lvlJc w:val="left"/>
      <w:pPr>
        <w:ind w:left="360" w:hanging="360"/>
      </w:pPr>
      <w:rPr>
        <w:rFonts w:ascii="Symbol" w:hAnsi="Symbol" w:hint="default"/>
      </w:rPr>
    </w:lvl>
    <w:lvl w:ilvl="1" w:tplc="55482AF4">
      <w:start w:val="1"/>
      <w:numFmt w:val="bullet"/>
      <w:lvlText w:val="o"/>
      <w:lvlJc w:val="left"/>
      <w:pPr>
        <w:ind w:left="1080" w:hanging="360"/>
      </w:pPr>
      <w:rPr>
        <w:rFonts w:ascii="Courier New" w:hAnsi="Courier New" w:hint="default"/>
      </w:rPr>
    </w:lvl>
    <w:lvl w:ilvl="2" w:tplc="322E9A7C">
      <w:start w:val="1"/>
      <w:numFmt w:val="bullet"/>
      <w:lvlText w:val=""/>
      <w:lvlJc w:val="left"/>
      <w:pPr>
        <w:ind w:left="1800" w:hanging="360"/>
      </w:pPr>
      <w:rPr>
        <w:rFonts w:ascii="Wingdings" w:hAnsi="Wingdings" w:hint="default"/>
      </w:rPr>
    </w:lvl>
    <w:lvl w:ilvl="3" w:tplc="27205056">
      <w:start w:val="1"/>
      <w:numFmt w:val="bullet"/>
      <w:lvlText w:val=""/>
      <w:lvlJc w:val="left"/>
      <w:pPr>
        <w:ind w:left="2520" w:hanging="360"/>
      </w:pPr>
      <w:rPr>
        <w:rFonts w:ascii="Symbol" w:hAnsi="Symbol" w:hint="default"/>
      </w:rPr>
    </w:lvl>
    <w:lvl w:ilvl="4" w:tplc="6780394E">
      <w:start w:val="1"/>
      <w:numFmt w:val="bullet"/>
      <w:lvlText w:val="o"/>
      <w:lvlJc w:val="left"/>
      <w:pPr>
        <w:ind w:left="3240" w:hanging="360"/>
      </w:pPr>
      <w:rPr>
        <w:rFonts w:ascii="Courier New" w:hAnsi="Courier New" w:hint="default"/>
      </w:rPr>
    </w:lvl>
    <w:lvl w:ilvl="5" w:tplc="EF2608A0">
      <w:start w:val="1"/>
      <w:numFmt w:val="bullet"/>
      <w:lvlText w:val=""/>
      <w:lvlJc w:val="left"/>
      <w:pPr>
        <w:ind w:left="3960" w:hanging="360"/>
      </w:pPr>
      <w:rPr>
        <w:rFonts w:ascii="Wingdings" w:hAnsi="Wingdings" w:hint="default"/>
      </w:rPr>
    </w:lvl>
    <w:lvl w:ilvl="6" w:tplc="3ABA4540">
      <w:start w:val="1"/>
      <w:numFmt w:val="bullet"/>
      <w:lvlText w:val=""/>
      <w:lvlJc w:val="left"/>
      <w:pPr>
        <w:ind w:left="4680" w:hanging="360"/>
      </w:pPr>
      <w:rPr>
        <w:rFonts w:ascii="Symbol" w:hAnsi="Symbol" w:hint="default"/>
      </w:rPr>
    </w:lvl>
    <w:lvl w:ilvl="7" w:tplc="3A926622">
      <w:start w:val="1"/>
      <w:numFmt w:val="bullet"/>
      <w:lvlText w:val="o"/>
      <w:lvlJc w:val="left"/>
      <w:pPr>
        <w:ind w:left="5400" w:hanging="360"/>
      </w:pPr>
      <w:rPr>
        <w:rFonts w:ascii="Courier New" w:hAnsi="Courier New" w:hint="default"/>
      </w:rPr>
    </w:lvl>
    <w:lvl w:ilvl="8" w:tplc="89DEA8E8">
      <w:start w:val="1"/>
      <w:numFmt w:val="bullet"/>
      <w:lvlText w:val=""/>
      <w:lvlJc w:val="left"/>
      <w:pPr>
        <w:ind w:left="6120" w:hanging="360"/>
      </w:pPr>
      <w:rPr>
        <w:rFonts w:ascii="Wingdings" w:hAnsi="Wingdings" w:hint="default"/>
      </w:rPr>
    </w:lvl>
  </w:abstractNum>
  <w:abstractNum w:abstractNumId="21" w15:restartNumberingAfterBreak="0">
    <w:nsid w:val="502311CB"/>
    <w:multiLevelType w:val="multilevel"/>
    <w:tmpl w:val="1DBCF9BE"/>
    <w:lvl w:ilvl="0">
      <w:start w:val="1"/>
      <w:numFmt w:val="bullet"/>
      <w:lvlText w:val=""/>
      <w:lvlJc w:val="left"/>
      <w:pPr>
        <w:tabs>
          <w:tab w:val="num" w:pos="720"/>
        </w:tabs>
        <w:ind w:left="720" w:hanging="360"/>
      </w:pPr>
      <w:rPr>
        <w:rFonts w:ascii="Symbol" w:hAnsi="Symbol" w:hint="default"/>
      </w:rPr>
    </w:lvl>
    <w:lvl w:ilvl="1">
      <w:start w:val="1"/>
      <w:numFmt w:val="decimal"/>
      <w:lvlText w:val="%1.%2."/>
      <w:lvlJc w:val="left"/>
      <w:pPr>
        <w:tabs>
          <w:tab w:val="num" w:pos="1152"/>
        </w:tabs>
        <w:ind w:left="1152" w:hanging="432"/>
      </w:pPr>
    </w:lvl>
    <w:lvl w:ilvl="2">
      <w:start w:val="1"/>
      <w:numFmt w:val="decimal"/>
      <w:lvlText w:val="%1.%2.%3."/>
      <w:lvlJc w:val="left"/>
      <w:pPr>
        <w:tabs>
          <w:tab w:val="num" w:pos="1800"/>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22" w15:restartNumberingAfterBreak="0">
    <w:nsid w:val="52153D23"/>
    <w:multiLevelType w:val="hybridMultilevel"/>
    <w:tmpl w:val="50DECCD8"/>
    <w:lvl w:ilvl="0" w:tplc="0ADC0AAC">
      <w:start w:val="1"/>
      <w:numFmt w:val="bullet"/>
      <w:pStyle w:val="CS-IBMTableBullet3"/>
      <w:lvlText w:val="o"/>
      <w:lvlJc w:val="left"/>
      <w:pPr>
        <w:ind w:left="1434" w:hanging="360"/>
      </w:pPr>
      <w:rPr>
        <w:rFonts w:ascii="Courier New" w:hAnsi="Courier New" w:cs="Courier New" w:hint="default"/>
      </w:rPr>
    </w:lvl>
    <w:lvl w:ilvl="1" w:tplc="04090003" w:tentative="1">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23" w15:restartNumberingAfterBreak="0">
    <w:nsid w:val="5B5A6239"/>
    <w:multiLevelType w:val="hybridMultilevel"/>
    <w:tmpl w:val="A7D4E274"/>
    <w:lvl w:ilvl="0" w:tplc="66ECEA22">
      <w:start w:val="1"/>
      <w:numFmt w:val="bullet"/>
      <w:pStyle w:val="CS-IBMBullet3"/>
      <w:lvlText w:val="o"/>
      <w:lvlJc w:val="left"/>
      <w:pPr>
        <w:ind w:left="1074" w:hanging="360"/>
      </w:pPr>
      <w:rPr>
        <w:rFonts w:ascii="Courier New" w:hAnsi="Courier New" w:cs="Courier New" w:hint="default"/>
        <w:color w:val="000000" w:themeColor="text1"/>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6A287800"/>
    <w:multiLevelType w:val="hybridMultilevel"/>
    <w:tmpl w:val="9FDE91A0"/>
    <w:lvl w:ilvl="0" w:tplc="1598E5FA">
      <w:start w:val="1"/>
      <w:numFmt w:val="bullet"/>
      <w:lvlText w:val=""/>
      <w:lvlJc w:val="left"/>
      <w:pPr>
        <w:ind w:left="720" w:hanging="360"/>
      </w:pPr>
      <w:rPr>
        <w:rFonts w:ascii="Symbol" w:hAnsi="Symbol" w:hint="default"/>
      </w:rPr>
    </w:lvl>
    <w:lvl w:ilvl="1" w:tplc="26643C28">
      <w:start w:val="1"/>
      <w:numFmt w:val="bullet"/>
      <w:lvlText w:val="o"/>
      <w:lvlJc w:val="left"/>
      <w:pPr>
        <w:ind w:left="1440" w:hanging="360"/>
      </w:pPr>
      <w:rPr>
        <w:rFonts w:ascii="Courier New" w:hAnsi="Courier New" w:hint="default"/>
      </w:rPr>
    </w:lvl>
    <w:lvl w:ilvl="2" w:tplc="35567C54">
      <w:start w:val="1"/>
      <w:numFmt w:val="bullet"/>
      <w:lvlText w:val=""/>
      <w:lvlJc w:val="left"/>
      <w:pPr>
        <w:ind w:left="2160" w:hanging="360"/>
      </w:pPr>
      <w:rPr>
        <w:rFonts w:ascii="Wingdings" w:hAnsi="Wingdings" w:hint="default"/>
      </w:rPr>
    </w:lvl>
    <w:lvl w:ilvl="3" w:tplc="318640B0">
      <w:start w:val="1"/>
      <w:numFmt w:val="bullet"/>
      <w:lvlText w:val=""/>
      <w:lvlJc w:val="left"/>
      <w:pPr>
        <w:ind w:left="2880" w:hanging="360"/>
      </w:pPr>
      <w:rPr>
        <w:rFonts w:ascii="Symbol" w:hAnsi="Symbol" w:hint="default"/>
      </w:rPr>
    </w:lvl>
    <w:lvl w:ilvl="4" w:tplc="FBB26E26">
      <w:start w:val="1"/>
      <w:numFmt w:val="bullet"/>
      <w:lvlText w:val="o"/>
      <w:lvlJc w:val="left"/>
      <w:pPr>
        <w:ind w:left="3600" w:hanging="360"/>
      </w:pPr>
      <w:rPr>
        <w:rFonts w:ascii="Courier New" w:hAnsi="Courier New" w:hint="default"/>
      </w:rPr>
    </w:lvl>
    <w:lvl w:ilvl="5" w:tplc="0CE02FE6">
      <w:start w:val="1"/>
      <w:numFmt w:val="bullet"/>
      <w:lvlText w:val=""/>
      <w:lvlJc w:val="left"/>
      <w:pPr>
        <w:ind w:left="4320" w:hanging="360"/>
      </w:pPr>
      <w:rPr>
        <w:rFonts w:ascii="Wingdings" w:hAnsi="Wingdings" w:hint="default"/>
      </w:rPr>
    </w:lvl>
    <w:lvl w:ilvl="6" w:tplc="F27AF150">
      <w:start w:val="1"/>
      <w:numFmt w:val="bullet"/>
      <w:lvlText w:val=""/>
      <w:lvlJc w:val="left"/>
      <w:pPr>
        <w:ind w:left="5040" w:hanging="360"/>
      </w:pPr>
      <w:rPr>
        <w:rFonts w:ascii="Symbol" w:hAnsi="Symbol" w:hint="default"/>
      </w:rPr>
    </w:lvl>
    <w:lvl w:ilvl="7" w:tplc="3BC6695E">
      <w:start w:val="1"/>
      <w:numFmt w:val="bullet"/>
      <w:lvlText w:val="o"/>
      <w:lvlJc w:val="left"/>
      <w:pPr>
        <w:ind w:left="5760" w:hanging="360"/>
      </w:pPr>
      <w:rPr>
        <w:rFonts w:ascii="Courier New" w:hAnsi="Courier New" w:hint="default"/>
      </w:rPr>
    </w:lvl>
    <w:lvl w:ilvl="8" w:tplc="B3D0E67A">
      <w:start w:val="1"/>
      <w:numFmt w:val="bullet"/>
      <w:lvlText w:val=""/>
      <w:lvlJc w:val="left"/>
      <w:pPr>
        <w:ind w:left="6480" w:hanging="360"/>
      </w:pPr>
      <w:rPr>
        <w:rFonts w:ascii="Wingdings" w:hAnsi="Wingdings" w:hint="default"/>
      </w:rPr>
    </w:lvl>
  </w:abstractNum>
  <w:abstractNum w:abstractNumId="25" w15:restartNumberingAfterBreak="0">
    <w:nsid w:val="6B6F4791"/>
    <w:multiLevelType w:val="hybridMultilevel"/>
    <w:tmpl w:val="82626864"/>
    <w:lvl w:ilvl="0" w:tplc="F6863522">
      <w:start w:val="1"/>
      <w:numFmt w:val="bullet"/>
      <w:pStyle w:val="CS-IBMBullet4"/>
      <w:lvlText w:val=""/>
      <w:lvlJc w:val="left"/>
      <w:pPr>
        <w:ind w:left="1434" w:hanging="360"/>
      </w:pPr>
      <w:rPr>
        <w:rFonts w:ascii="Wingdings" w:hAnsi="Wingdings" w:hint="default"/>
      </w:rPr>
    </w:lvl>
    <w:lvl w:ilvl="1" w:tplc="34090003" w:tentative="1">
      <w:start w:val="1"/>
      <w:numFmt w:val="bullet"/>
      <w:lvlText w:val="o"/>
      <w:lvlJc w:val="left"/>
      <w:pPr>
        <w:ind w:left="2154" w:hanging="360"/>
      </w:pPr>
      <w:rPr>
        <w:rFonts w:ascii="Courier New" w:hAnsi="Courier New" w:cs="Courier New" w:hint="default"/>
      </w:rPr>
    </w:lvl>
    <w:lvl w:ilvl="2" w:tplc="34090005" w:tentative="1">
      <w:start w:val="1"/>
      <w:numFmt w:val="bullet"/>
      <w:lvlText w:val=""/>
      <w:lvlJc w:val="left"/>
      <w:pPr>
        <w:ind w:left="2874" w:hanging="360"/>
      </w:pPr>
      <w:rPr>
        <w:rFonts w:ascii="Wingdings" w:hAnsi="Wingdings" w:hint="default"/>
      </w:rPr>
    </w:lvl>
    <w:lvl w:ilvl="3" w:tplc="34090001" w:tentative="1">
      <w:start w:val="1"/>
      <w:numFmt w:val="bullet"/>
      <w:lvlText w:val=""/>
      <w:lvlJc w:val="left"/>
      <w:pPr>
        <w:ind w:left="3594" w:hanging="360"/>
      </w:pPr>
      <w:rPr>
        <w:rFonts w:ascii="Symbol" w:hAnsi="Symbol" w:hint="default"/>
      </w:rPr>
    </w:lvl>
    <w:lvl w:ilvl="4" w:tplc="34090003" w:tentative="1">
      <w:start w:val="1"/>
      <w:numFmt w:val="bullet"/>
      <w:lvlText w:val="o"/>
      <w:lvlJc w:val="left"/>
      <w:pPr>
        <w:ind w:left="4314" w:hanging="360"/>
      </w:pPr>
      <w:rPr>
        <w:rFonts w:ascii="Courier New" w:hAnsi="Courier New" w:cs="Courier New" w:hint="default"/>
      </w:rPr>
    </w:lvl>
    <w:lvl w:ilvl="5" w:tplc="34090005" w:tentative="1">
      <w:start w:val="1"/>
      <w:numFmt w:val="bullet"/>
      <w:lvlText w:val=""/>
      <w:lvlJc w:val="left"/>
      <w:pPr>
        <w:ind w:left="5034" w:hanging="360"/>
      </w:pPr>
      <w:rPr>
        <w:rFonts w:ascii="Wingdings" w:hAnsi="Wingdings" w:hint="default"/>
      </w:rPr>
    </w:lvl>
    <w:lvl w:ilvl="6" w:tplc="34090001" w:tentative="1">
      <w:start w:val="1"/>
      <w:numFmt w:val="bullet"/>
      <w:lvlText w:val=""/>
      <w:lvlJc w:val="left"/>
      <w:pPr>
        <w:ind w:left="5754" w:hanging="360"/>
      </w:pPr>
      <w:rPr>
        <w:rFonts w:ascii="Symbol" w:hAnsi="Symbol" w:hint="default"/>
      </w:rPr>
    </w:lvl>
    <w:lvl w:ilvl="7" w:tplc="34090003" w:tentative="1">
      <w:start w:val="1"/>
      <w:numFmt w:val="bullet"/>
      <w:lvlText w:val="o"/>
      <w:lvlJc w:val="left"/>
      <w:pPr>
        <w:ind w:left="6474" w:hanging="360"/>
      </w:pPr>
      <w:rPr>
        <w:rFonts w:ascii="Courier New" w:hAnsi="Courier New" w:cs="Courier New" w:hint="default"/>
      </w:rPr>
    </w:lvl>
    <w:lvl w:ilvl="8" w:tplc="34090005" w:tentative="1">
      <w:start w:val="1"/>
      <w:numFmt w:val="bullet"/>
      <w:lvlText w:val=""/>
      <w:lvlJc w:val="left"/>
      <w:pPr>
        <w:ind w:left="7194" w:hanging="360"/>
      </w:pPr>
      <w:rPr>
        <w:rFonts w:ascii="Wingdings" w:hAnsi="Wingdings" w:hint="default"/>
      </w:rPr>
    </w:lvl>
  </w:abstractNum>
  <w:abstractNum w:abstractNumId="26" w15:restartNumberingAfterBreak="0">
    <w:nsid w:val="6BCC3397"/>
    <w:multiLevelType w:val="multilevel"/>
    <w:tmpl w:val="F146B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C2F171D"/>
    <w:multiLevelType w:val="hybridMultilevel"/>
    <w:tmpl w:val="CD82A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62D629D"/>
    <w:multiLevelType w:val="hybridMultilevel"/>
    <w:tmpl w:val="CC7C6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7D2D73"/>
    <w:multiLevelType w:val="hybridMultilevel"/>
    <w:tmpl w:val="AE0C8900"/>
    <w:lvl w:ilvl="0" w:tplc="DBD65DB8">
      <w:start w:val="1"/>
      <w:numFmt w:val="bullet"/>
      <w:pStyle w:val="CS-IBMTableBullet2"/>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30" w15:restartNumberingAfterBreak="0">
    <w:nsid w:val="7AA44778"/>
    <w:multiLevelType w:val="hybridMultilevel"/>
    <w:tmpl w:val="4684B140"/>
    <w:lvl w:ilvl="0" w:tplc="4A88C2F2">
      <w:start w:val="1"/>
      <w:numFmt w:val="lowerRoman"/>
      <w:pStyle w:val="List3"/>
      <w:lvlText w:val="%1."/>
      <w:lvlJc w:val="left"/>
      <w:pPr>
        <w:tabs>
          <w:tab w:val="num" w:pos="926"/>
        </w:tabs>
        <w:ind w:left="926"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16cid:durableId="493254286">
    <w:abstractNumId w:val="24"/>
  </w:num>
  <w:num w:numId="2" w16cid:durableId="122239045">
    <w:abstractNumId w:val="20"/>
  </w:num>
  <w:num w:numId="3" w16cid:durableId="405346525">
    <w:abstractNumId w:val="6"/>
  </w:num>
  <w:num w:numId="4" w16cid:durableId="282611964">
    <w:abstractNumId w:val="2"/>
  </w:num>
  <w:num w:numId="5" w16cid:durableId="1825856418">
    <w:abstractNumId w:val="5"/>
  </w:num>
  <w:num w:numId="6" w16cid:durableId="1391923421">
    <w:abstractNumId w:val="13"/>
  </w:num>
  <w:num w:numId="7" w16cid:durableId="841358567">
    <w:abstractNumId w:val="30"/>
  </w:num>
  <w:num w:numId="8" w16cid:durableId="1101729146">
    <w:abstractNumId w:val="10"/>
  </w:num>
  <w:num w:numId="9" w16cid:durableId="1801874410">
    <w:abstractNumId w:val="19"/>
  </w:num>
  <w:num w:numId="10" w16cid:durableId="860705883">
    <w:abstractNumId w:val="0"/>
  </w:num>
  <w:num w:numId="11" w16cid:durableId="1500578867">
    <w:abstractNumId w:val="17"/>
  </w:num>
  <w:num w:numId="12" w16cid:durableId="1482113343">
    <w:abstractNumId w:val="15"/>
  </w:num>
  <w:num w:numId="13" w16cid:durableId="1120757209">
    <w:abstractNumId w:val="9"/>
  </w:num>
  <w:num w:numId="14" w16cid:durableId="1809664078">
    <w:abstractNumId w:val="1"/>
  </w:num>
  <w:num w:numId="15" w16cid:durableId="148135245">
    <w:abstractNumId w:val="7"/>
  </w:num>
  <w:num w:numId="16" w16cid:durableId="1395661601">
    <w:abstractNumId w:val="23"/>
  </w:num>
  <w:num w:numId="17" w16cid:durableId="1440757471">
    <w:abstractNumId w:val="18"/>
  </w:num>
  <w:num w:numId="18" w16cid:durableId="1479608132">
    <w:abstractNumId w:val="8"/>
  </w:num>
  <w:num w:numId="19" w16cid:durableId="1102870950">
    <w:abstractNumId w:val="12"/>
  </w:num>
  <w:num w:numId="20" w16cid:durableId="1604608350">
    <w:abstractNumId w:val="29"/>
  </w:num>
  <w:num w:numId="21" w16cid:durableId="703403042">
    <w:abstractNumId w:val="22"/>
  </w:num>
  <w:num w:numId="22" w16cid:durableId="1056507566">
    <w:abstractNumId w:val="25"/>
  </w:num>
  <w:num w:numId="23" w16cid:durableId="615330643">
    <w:abstractNumId w:val="11"/>
  </w:num>
  <w:num w:numId="24" w16cid:durableId="1513640781">
    <w:abstractNumId w:val="3"/>
  </w:num>
  <w:num w:numId="25" w16cid:durableId="1497645919">
    <w:abstractNumId w:val="3"/>
  </w:num>
  <w:num w:numId="26" w16cid:durableId="1783568215">
    <w:abstractNumId w:val="3"/>
  </w:num>
  <w:num w:numId="27" w16cid:durableId="1709253793">
    <w:abstractNumId w:val="27"/>
  </w:num>
  <w:num w:numId="28" w16cid:durableId="1675377869">
    <w:abstractNumId w:val="14"/>
  </w:num>
  <w:num w:numId="29" w16cid:durableId="1525824075">
    <w:abstractNumId w:val="21"/>
  </w:num>
  <w:num w:numId="30" w16cid:durableId="729036474">
    <w:abstractNumId w:val="26"/>
  </w:num>
  <w:num w:numId="31" w16cid:durableId="185294734">
    <w:abstractNumId w:val="4"/>
  </w:num>
  <w:num w:numId="32" w16cid:durableId="956058972">
    <w:abstractNumId w:val="28"/>
  </w:num>
  <w:num w:numId="33" w16cid:durableId="1334916911">
    <w:abstractNumId w:val="16"/>
  </w:num>
  <w:num w:numId="34" w16cid:durableId="1665739589">
    <w:abstractNumId w:val="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801" w:allStyles="1" w:customStyles="0" w:latentStyles="0" w:stylesInUse="0" w:headingStyles="0" w:numberingStyles="0" w:tableStyles="0" w:directFormattingOnRuns="0" w:directFormattingOnParagraphs="0" w:directFormattingOnNumbering="0" w:directFormattingOnTables="1" w:clearFormatting="1" w:top3HeadingStyles="0" w:visibleStyles="0" w:alternateStyleNames="0"/>
  <w:stylePaneSortMethod w:val="0000"/>
  <w:defaultTabStop w:val="720"/>
  <w:noPunctuationKerning/>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322A"/>
    <w:rsid w:val="00006481"/>
    <w:rsid w:val="000107FE"/>
    <w:rsid w:val="000129DF"/>
    <w:rsid w:val="00012E1C"/>
    <w:rsid w:val="0001325D"/>
    <w:rsid w:val="0001407E"/>
    <w:rsid w:val="0001480D"/>
    <w:rsid w:val="00015CF4"/>
    <w:rsid w:val="00016639"/>
    <w:rsid w:val="00016B2E"/>
    <w:rsid w:val="00020495"/>
    <w:rsid w:val="00023836"/>
    <w:rsid w:val="00025299"/>
    <w:rsid w:val="0002532B"/>
    <w:rsid w:val="00025439"/>
    <w:rsid w:val="00026428"/>
    <w:rsid w:val="00027942"/>
    <w:rsid w:val="0003277D"/>
    <w:rsid w:val="0003296E"/>
    <w:rsid w:val="00033F83"/>
    <w:rsid w:val="00034CE2"/>
    <w:rsid w:val="0004337C"/>
    <w:rsid w:val="00044CA4"/>
    <w:rsid w:val="00047F37"/>
    <w:rsid w:val="00050660"/>
    <w:rsid w:val="00051455"/>
    <w:rsid w:val="000541C2"/>
    <w:rsid w:val="00056443"/>
    <w:rsid w:val="00064AE5"/>
    <w:rsid w:val="00064CCD"/>
    <w:rsid w:val="00065623"/>
    <w:rsid w:val="00066583"/>
    <w:rsid w:val="000701D0"/>
    <w:rsid w:val="0007206D"/>
    <w:rsid w:val="00073303"/>
    <w:rsid w:val="00076A36"/>
    <w:rsid w:val="00076D1A"/>
    <w:rsid w:val="00077000"/>
    <w:rsid w:val="000773B4"/>
    <w:rsid w:val="00080597"/>
    <w:rsid w:val="00080701"/>
    <w:rsid w:val="0008081E"/>
    <w:rsid w:val="000813AF"/>
    <w:rsid w:val="00082BA4"/>
    <w:rsid w:val="000842A4"/>
    <w:rsid w:val="000846FF"/>
    <w:rsid w:val="00087750"/>
    <w:rsid w:val="00087EB3"/>
    <w:rsid w:val="000901F0"/>
    <w:rsid w:val="00090C5E"/>
    <w:rsid w:val="00091562"/>
    <w:rsid w:val="00092DE2"/>
    <w:rsid w:val="00094BB4"/>
    <w:rsid w:val="00095A0C"/>
    <w:rsid w:val="00097531"/>
    <w:rsid w:val="00097963"/>
    <w:rsid w:val="000A1A03"/>
    <w:rsid w:val="000A1BBD"/>
    <w:rsid w:val="000A1F79"/>
    <w:rsid w:val="000A2164"/>
    <w:rsid w:val="000A41EA"/>
    <w:rsid w:val="000A6570"/>
    <w:rsid w:val="000A68FC"/>
    <w:rsid w:val="000A74DD"/>
    <w:rsid w:val="000B172A"/>
    <w:rsid w:val="000B22B4"/>
    <w:rsid w:val="000B2C1B"/>
    <w:rsid w:val="000B55C5"/>
    <w:rsid w:val="000B5823"/>
    <w:rsid w:val="000B5EE4"/>
    <w:rsid w:val="000B615E"/>
    <w:rsid w:val="000B6670"/>
    <w:rsid w:val="000B67A7"/>
    <w:rsid w:val="000B7344"/>
    <w:rsid w:val="000C0980"/>
    <w:rsid w:val="000C19B6"/>
    <w:rsid w:val="000C343D"/>
    <w:rsid w:val="000C6448"/>
    <w:rsid w:val="000D4C74"/>
    <w:rsid w:val="000D5EA4"/>
    <w:rsid w:val="000E0AF2"/>
    <w:rsid w:val="000E6357"/>
    <w:rsid w:val="000E63F7"/>
    <w:rsid w:val="000E6434"/>
    <w:rsid w:val="000F1071"/>
    <w:rsid w:val="000F31D5"/>
    <w:rsid w:val="000F46E7"/>
    <w:rsid w:val="001021EA"/>
    <w:rsid w:val="00102920"/>
    <w:rsid w:val="00102C98"/>
    <w:rsid w:val="001058C3"/>
    <w:rsid w:val="00105C92"/>
    <w:rsid w:val="0011066B"/>
    <w:rsid w:val="00111131"/>
    <w:rsid w:val="001112AD"/>
    <w:rsid w:val="00112272"/>
    <w:rsid w:val="00113F0C"/>
    <w:rsid w:val="00114DD7"/>
    <w:rsid w:val="0011545D"/>
    <w:rsid w:val="001158F9"/>
    <w:rsid w:val="00117B3D"/>
    <w:rsid w:val="00121AB0"/>
    <w:rsid w:val="0012390F"/>
    <w:rsid w:val="00125116"/>
    <w:rsid w:val="00126230"/>
    <w:rsid w:val="00127199"/>
    <w:rsid w:val="001313BE"/>
    <w:rsid w:val="00131DA1"/>
    <w:rsid w:val="00133CEC"/>
    <w:rsid w:val="00134312"/>
    <w:rsid w:val="00135E06"/>
    <w:rsid w:val="0014029A"/>
    <w:rsid w:val="00144798"/>
    <w:rsid w:val="001525A7"/>
    <w:rsid w:val="00154C0F"/>
    <w:rsid w:val="001558A0"/>
    <w:rsid w:val="00155BE9"/>
    <w:rsid w:val="0015738A"/>
    <w:rsid w:val="00157AEE"/>
    <w:rsid w:val="00164BBF"/>
    <w:rsid w:val="00171DC0"/>
    <w:rsid w:val="00173CA6"/>
    <w:rsid w:val="00173DEE"/>
    <w:rsid w:val="00175B99"/>
    <w:rsid w:val="00176707"/>
    <w:rsid w:val="00176ABE"/>
    <w:rsid w:val="0017778E"/>
    <w:rsid w:val="00184263"/>
    <w:rsid w:val="001862D9"/>
    <w:rsid w:val="0018748D"/>
    <w:rsid w:val="00187A22"/>
    <w:rsid w:val="00187E60"/>
    <w:rsid w:val="00193657"/>
    <w:rsid w:val="00194655"/>
    <w:rsid w:val="00195483"/>
    <w:rsid w:val="00197132"/>
    <w:rsid w:val="00197DB6"/>
    <w:rsid w:val="001A372E"/>
    <w:rsid w:val="001A6063"/>
    <w:rsid w:val="001A6FC9"/>
    <w:rsid w:val="001B0E1A"/>
    <w:rsid w:val="001B11CC"/>
    <w:rsid w:val="001B3A39"/>
    <w:rsid w:val="001B4430"/>
    <w:rsid w:val="001C02E1"/>
    <w:rsid w:val="001C1FCB"/>
    <w:rsid w:val="001C2D61"/>
    <w:rsid w:val="001C4FB1"/>
    <w:rsid w:val="001C686E"/>
    <w:rsid w:val="001C6D47"/>
    <w:rsid w:val="001C70AE"/>
    <w:rsid w:val="001D0BD8"/>
    <w:rsid w:val="001D3E33"/>
    <w:rsid w:val="001D4A90"/>
    <w:rsid w:val="001D57E5"/>
    <w:rsid w:val="001D702E"/>
    <w:rsid w:val="001D7106"/>
    <w:rsid w:val="001D71C1"/>
    <w:rsid w:val="001E28CE"/>
    <w:rsid w:val="001F2A65"/>
    <w:rsid w:val="001F3AAB"/>
    <w:rsid w:val="001F52C4"/>
    <w:rsid w:val="001F5910"/>
    <w:rsid w:val="001F74FD"/>
    <w:rsid w:val="002001CF"/>
    <w:rsid w:val="00200C25"/>
    <w:rsid w:val="002035B4"/>
    <w:rsid w:val="002043A6"/>
    <w:rsid w:val="002045D6"/>
    <w:rsid w:val="00206614"/>
    <w:rsid w:val="00206C9A"/>
    <w:rsid w:val="0020772C"/>
    <w:rsid w:val="002104B1"/>
    <w:rsid w:val="00211CC1"/>
    <w:rsid w:val="002136FF"/>
    <w:rsid w:val="00213B0B"/>
    <w:rsid w:val="00214DA0"/>
    <w:rsid w:val="0021571B"/>
    <w:rsid w:val="00216BAC"/>
    <w:rsid w:val="00221D19"/>
    <w:rsid w:val="00221E51"/>
    <w:rsid w:val="0022234F"/>
    <w:rsid w:val="0022388C"/>
    <w:rsid w:val="002238C8"/>
    <w:rsid w:val="00223CF3"/>
    <w:rsid w:val="002261DB"/>
    <w:rsid w:val="00227436"/>
    <w:rsid w:val="00232033"/>
    <w:rsid w:val="00237996"/>
    <w:rsid w:val="00240510"/>
    <w:rsid w:val="002420FD"/>
    <w:rsid w:val="0024432C"/>
    <w:rsid w:val="00244526"/>
    <w:rsid w:val="00245763"/>
    <w:rsid w:val="00247558"/>
    <w:rsid w:val="00247D05"/>
    <w:rsid w:val="0025189B"/>
    <w:rsid w:val="002522FB"/>
    <w:rsid w:val="00253BC2"/>
    <w:rsid w:val="002540F1"/>
    <w:rsid w:val="0025632F"/>
    <w:rsid w:val="0025735A"/>
    <w:rsid w:val="00260E48"/>
    <w:rsid w:val="00262916"/>
    <w:rsid w:val="00263B6D"/>
    <w:rsid w:val="002644D0"/>
    <w:rsid w:val="0026501F"/>
    <w:rsid w:val="002660E8"/>
    <w:rsid w:val="00267535"/>
    <w:rsid w:val="00267791"/>
    <w:rsid w:val="00267F32"/>
    <w:rsid w:val="00271165"/>
    <w:rsid w:val="00273064"/>
    <w:rsid w:val="00276DEC"/>
    <w:rsid w:val="00277386"/>
    <w:rsid w:val="00280159"/>
    <w:rsid w:val="00281A69"/>
    <w:rsid w:val="002824B5"/>
    <w:rsid w:val="00283A33"/>
    <w:rsid w:val="002842AF"/>
    <w:rsid w:val="00284D63"/>
    <w:rsid w:val="0028555D"/>
    <w:rsid w:val="00285CCA"/>
    <w:rsid w:val="002908ED"/>
    <w:rsid w:val="002919CF"/>
    <w:rsid w:val="00292F4E"/>
    <w:rsid w:val="00293023"/>
    <w:rsid w:val="00294BC5"/>
    <w:rsid w:val="002955FA"/>
    <w:rsid w:val="002972DB"/>
    <w:rsid w:val="00297437"/>
    <w:rsid w:val="002A1455"/>
    <w:rsid w:val="002A1CFE"/>
    <w:rsid w:val="002A253F"/>
    <w:rsid w:val="002A2922"/>
    <w:rsid w:val="002A48DB"/>
    <w:rsid w:val="002A65F1"/>
    <w:rsid w:val="002A68E6"/>
    <w:rsid w:val="002A727C"/>
    <w:rsid w:val="002B26D7"/>
    <w:rsid w:val="002B27E4"/>
    <w:rsid w:val="002B5511"/>
    <w:rsid w:val="002B6EC4"/>
    <w:rsid w:val="002B7316"/>
    <w:rsid w:val="002C3173"/>
    <w:rsid w:val="002C333C"/>
    <w:rsid w:val="002C397C"/>
    <w:rsid w:val="002C48F8"/>
    <w:rsid w:val="002C4B15"/>
    <w:rsid w:val="002C62C6"/>
    <w:rsid w:val="002C63AC"/>
    <w:rsid w:val="002C6425"/>
    <w:rsid w:val="002C7CC9"/>
    <w:rsid w:val="002C7EC2"/>
    <w:rsid w:val="002C7F18"/>
    <w:rsid w:val="002D278D"/>
    <w:rsid w:val="002D3430"/>
    <w:rsid w:val="002D3DDC"/>
    <w:rsid w:val="002D4062"/>
    <w:rsid w:val="002D454E"/>
    <w:rsid w:val="002D45DA"/>
    <w:rsid w:val="002D4739"/>
    <w:rsid w:val="002D4C43"/>
    <w:rsid w:val="002D4EEB"/>
    <w:rsid w:val="002D6A05"/>
    <w:rsid w:val="002D6C14"/>
    <w:rsid w:val="002D78C1"/>
    <w:rsid w:val="002D7E22"/>
    <w:rsid w:val="002E1954"/>
    <w:rsid w:val="002E262C"/>
    <w:rsid w:val="002E2CCD"/>
    <w:rsid w:val="002E2ECD"/>
    <w:rsid w:val="002E462A"/>
    <w:rsid w:val="002E4BFC"/>
    <w:rsid w:val="002E4F0E"/>
    <w:rsid w:val="002F075B"/>
    <w:rsid w:val="002F1C5C"/>
    <w:rsid w:val="002F331E"/>
    <w:rsid w:val="002F372C"/>
    <w:rsid w:val="002F459D"/>
    <w:rsid w:val="002F4CB3"/>
    <w:rsid w:val="002F6EE5"/>
    <w:rsid w:val="002F7DE9"/>
    <w:rsid w:val="003000D9"/>
    <w:rsid w:val="00303061"/>
    <w:rsid w:val="00303BFB"/>
    <w:rsid w:val="00304D51"/>
    <w:rsid w:val="003064A5"/>
    <w:rsid w:val="003065D7"/>
    <w:rsid w:val="00307B2E"/>
    <w:rsid w:val="00312714"/>
    <w:rsid w:val="00314784"/>
    <w:rsid w:val="00314B4A"/>
    <w:rsid w:val="00321D0D"/>
    <w:rsid w:val="00322F76"/>
    <w:rsid w:val="00324ACB"/>
    <w:rsid w:val="00327115"/>
    <w:rsid w:val="0033139A"/>
    <w:rsid w:val="00333139"/>
    <w:rsid w:val="003341C2"/>
    <w:rsid w:val="003354CE"/>
    <w:rsid w:val="00340058"/>
    <w:rsid w:val="00341BB9"/>
    <w:rsid w:val="00345A85"/>
    <w:rsid w:val="00347026"/>
    <w:rsid w:val="00347A3F"/>
    <w:rsid w:val="00352040"/>
    <w:rsid w:val="0035251C"/>
    <w:rsid w:val="00352CD0"/>
    <w:rsid w:val="00353342"/>
    <w:rsid w:val="0035503F"/>
    <w:rsid w:val="003571B4"/>
    <w:rsid w:val="00357D57"/>
    <w:rsid w:val="00360EF7"/>
    <w:rsid w:val="0036114B"/>
    <w:rsid w:val="003624A5"/>
    <w:rsid w:val="003648F4"/>
    <w:rsid w:val="003678E0"/>
    <w:rsid w:val="00367C8B"/>
    <w:rsid w:val="00370C1D"/>
    <w:rsid w:val="0037170A"/>
    <w:rsid w:val="0037486F"/>
    <w:rsid w:val="00376DEB"/>
    <w:rsid w:val="00380F96"/>
    <w:rsid w:val="0038499A"/>
    <w:rsid w:val="00385C2C"/>
    <w:rsid w:val="00386D23"/>
    <w:rsid w:val="00387149"/>
    <w:rsid w:val="003900A0"/>
    <w:rsid w:val="00393AE4"/>
    <w:rsid w:val="0039529B"/>
    <w:rsid w:val="003A0903"/>
    <w:rsid w:val="003A19AE"/>
    <w:rsid w:val="003A4D91"/>
    <w:rsid w:val="003A7690"/>
    <w:rsid w:val="003A7729"/>
    <w:rsid w:val="003B07A2"/>
    <w:rsid w:val="003B0E1F"/>
    <w:rsid w:val="003B1110"/>
    <w:rsid w:val="003B1990"/>
    <w:rsid w:val="003B1A7D"/>
    <w:rsid w:val="003B5701"/>
    <w:rsid w:val="003B6A51"/>
    <w:rsid w:val="003B7553"/>
    <w:rsid w:val="003C03E3"/>
    <w:rsid w:val="003C0A03"/>
    <w:rsid w:val="003C4994"/>
    <w:rsid w:val="003C53BE"/>
    <w:rsid w:val="003C6F58"/>
    <w:rsid w:val="003D1E12"/>
    <w:rsid w:val="003D6A6A"/>
    <w:rsid w:val="003D746B"/>
    <w:rsid w:val="003D760E"/>
    <w:rsid w:val="003D79AC"/>
    <w:rsid w:val="003E324C"/>
    <w:rsid w:val="003E58D5"/>
    <w:rsid w:val="003E5C23"/>
    <w:rsid w:val="003E6F33"/>
    <w:rsid w:val="003F1606"/>
    <w:rsid w:val="003F3209"/>
    <w:rsid w:val="003F44CF"/>
    <w:rsid w:val="003F64E1"/>
    <w:rsid w:val="003F760D"/>
    <w:rsid w:val="003F7D2E"/>
    <w:rsid w:val="0040055E"/>
    <w:rsid w:val="00405DD0"/>
    <w:rsid w:val="00405EF5"/>
    <w:rsid w:val="00405F0D"/>
    <w:rsid w:val="004071DF"/>
    <w:rsid w:val="004074C9"/>
    <w:rsid w:val="00407927"/>
    <w:rsid w:val="004112B4"/>
    <w:rsid w:val="004143D6"/>
    <w:rsid w:val="00414E09"/>
    <w:rsid w:val="00415F05"/>
    <w:rsid w:val="004173FB"/>
    <w:rsid w:val="0041774A"/>
    <w:rsid w:val="0042288D"/>
    <w:rsid w:val="004236C3"/>
    <w:rsid w:val="00426F7C"/>
    <w:rsid w:val="00432624"/>
    <w:rsid w:val="00436995"/>
    <w:rsid w:val="00436D63"/>
    <w:rsid w:val="004403C6"/>
    <w:rsid w:val="00440D69"/>
    <w:rsid w:val="00444281"/>
    <w:rsid w:val="004465C8"/>
    <w:rsid w:val="00450321"/>
    <w:rsid w:val="00452187"/>
    <w:rsid w:val="00454ECC"/>
    <w:rsid w:val="0045509A"/>
    <w:rsid w:val="00455DF5"/>
    <w:rsid w:val="00456DC5"/>
    <w:rsid w:val="004570BD"/>
    <w:rsid w:val="004579E1"/>
    <w:rsid w:val="00461AB8"/>
    <w:rsid w:val="004625C6"/>
    <w:rsid w:val="00463DFA"/>
    <w:rsid w:val="00464325"/>
    <w:rsid w:val="004643A1"/>
    <w:rsid w:val="00464519"/>
    <w:rsid w:val="00464DFA"/>
    <w:rsid w:val="004652A8"/>
    <w:rsid w:val="00470D0C"/>
    <w:rsid w:val="00476AC1"/>
    <w:rsid w:val="00477338"/>
    <w:rsid w:val="00477B1B"/>
    <w:rsid w:val="004806A3"/>
    <w:rsid w:val="00480E18"/>
    <w:rsid w:val="00481D69"/>
    <w:rsid w:val="0048249A"/>
    <w:rsid w:val="00482B37"/>
    <w:rsid w:val="004831A6"/>
    <w:rsid w:val="00484066"/>
    <w:rsid w:val="004875E4"/>
    <w:rsid w:val="00490B3A"/>
    <w:rsid w:val="00490D54"/>
    <w:rsid w:val="00491B6B"/>
    <w:rsid w:val="00491F12"/>
    <w:rsid w:val="00492307"/>
    <w:rsid w:val="00492325"/>
    <w:rsid w:val="00493D7E"/>
    <w:rsid w:val="00494FF5"/>
    <w:rsid w:val="004958F2"/>
    <w:rsid w:val="00497D67"/>
    <w:rsid w:val="00497EF9"/>
    <w:rsid w:val="004A1871"/>
    <w:rsid w:val="004A40B2"/>
    <w:rsid w:val="004A6EAC"/>
    <w:rsid w:val="004B080D"/>
    <w:rsid w:val="004B10C4"/>
    <w:rsid w:val="004B1F11"/>
    <w:rsid w:val="004B2AB2"/>
    <w:rsid w:val="004B3CF2"/>
    <w:rsid w:val="004B5B02"/>
    <w:rsid w:val="004B6F31"/>
    <w:rsid w:val="004B7036"/>
    <w:rsid w:val="004B7738"/>
    <w:rsid w:val="004C0D06"/>
    <w:rsid w:val="004C144B"/>
    <w:rsid w:val="004C3BC0"/>
    <w:rsid w:val="004C4273"/>
    <w:rsid w:val="004D0496"/>
    <w:rsid w:val="004D0D1C"/>
    <w:rsid w:val="004D1DE5"/>
    <w:rsid w:val="004D2259"/>
    <w:rsid w:val="004D2EB8"/>
    <w:rsid w:val="004D3EA5"/>
    <w:rsid w:val="004D3FE1"/>
    <w:rsid w:val="004D7D12"/>
    <w:rsid w:val="004E1BD0"/>
    <w:rsid w:val="004E1EB2"/>
    <w:rsid w:val="004E31F8"/>
    <w:rsid w:val="004E45FC"/>
    <w:rsid w:val="004E5DA1"/>
    <w:rsid w:val="004E6A8D"/>
    <w:rsid w:val="004E7347"/>
    <w:rsid w:val="004E758C"/>
    <w:rsid w:val="004F4764"/>
    <w:rsid w:val="004F7083"/>
    <w:rsid w:val="004F774D"/>
    <w:rsid w:val="00501210"/>
    <w:rsid w:val="00502031"/>
    <w:rsid w:val="00503568"/>
    <w:rsid w:val="00505815"/>
    <w:rsid w:val="00507D87"/>
    <w:rsid w:val="00510755"/>
    <w:rsid w:val="00512782"/>
    <w:rsid w:val="00513153"/>
    <w:rsid w:val="00513408"/>
    <w:rsid w:val="00513F63"/>
    <w:rsid w:val="0051646F"/>
    <w:rsid w:val="00517531"/>
    <w:rsid w:val="005178C1"/>
    <w:rsid w:val="005232E1"/>
    <w:rsid w:val="00526845"/>
    <w:rsid w:val="00534068"/>
    <w:rsid w:val="00534A4B"/>
    <w:rsid w:val="00535268"/>
    <w:rsid w:val="00536B32"/>
    <w:rsid w:val="00536EC7"/>
    <w:rsid w:val="00540969"/>
    <w:rsid w:val="0054112C"/>
    <w:rsid w:val="0054130D"/>
    <w:rsid w:val="0054161A"/>
    <w:rsid w:val="00544933"/>
    <w:rsid w:val="00544B89"/>
    <w:rsid w:val="0054636B"/>
    <w:rsid w:val="0055125E"/>
    <w:rsid w:val="00551DD1"/>
    <w:rsid w:val="00552899"/>
    <w:rsid w:val="0055393C"/>
    <w:rsid w:val="00556DBC"/>
    <w:rsid w:val="00560080"/>
    <w:rsid w:val="00561C5D"/>
    <w:rsid w:val="00562B03"/>
    <w:rsid w:val="00563743"/>
    <w:rsid w:val="005639F7"/>
    <w:rsid w:val="00563AC8"/>
    <w:rsid w:val="00565C82"/>
    <w:rsid w:val="00566C70"/>
    <w:rsid w:val="00571A66"/>
    <w:rsid w:val="00572074"/>
    <w:rsid w:val="00572357"/>
    <w:rsid w:val="00572CA7"/>
    <w:rsid w:val="00573071"/>
    <w:rsid w:val="00573918"/>
    <w:rsid w:val="005748A3"/>
    <w:rsid w:val="005756E3"/>
    <w:rsid w:val="0057585B"/>
    <w:rsid w:val="0057671D"/>
    <w:rsid w:val="00576BC2"/>
    <w:rsid w:val="00580732"/>
    <w:rsid w:val="00581EE5"/>
    <w:rsid w:val="00583294"/>
    <w:rsid w:val="00585AF2"/>
    <w:rsid w:val="00585B79"/>
    <w:rsid w:val="00587162"/>
    <w:rsid w:val="005930E1"/>
    <w:rsid w:val="00596E21"/>
    <w:rsid w:val="00597C35"/>
    <w:rsid w:val="005A1F27"/>
    <w:rsid w:val="005A2079"/>
    <w:rsid w:val="005A3542"/>
    <w:rsid w:val="005A4B63"/>
    <w:rsid w:val="005B1512"/>
    <w:rsid w:val="005B1CAF"/>
    <w:rsid w:val="005B1E75"/>
    <w:rsid w:val="005B293D"/>
    <w:rsid w:val="005B30C7"/>
    <w:rsid w:val="005B417B"/>
    <w:rsid w:val="005B4B28"/>
    <w:rsid w:val="005B7FA8"/>
    <w:rsid w:val="005C041D"/>
    <w:rsid w:val="005C09BC"/>
    <w:rsid w:val="005C0CE2"/>
    <w:rsid w:val="005C15AB"/>
    <w:rsid w:val="005C15D3"/>
    <w:rsid w:val="005C3ADC"/>
    <w:rsid w:val="005C476C"/>
    <w:rsid w:val="005C5A50"/>
    <w:rsid w:val="005C6C95"/>
    <w:rsid w:val="005C7010"/>
    <w:rsid w:val="005C729D"/>
    <w:rsid w:val="005D079F"/>
    <w:rsid w:val="005D0B8C"/>
    <w:rsid w:val="005D10E4"/>
    <w:rsid w:val="005E3151"/>
    <w:rsid w:val="005E6D31"/>
    <w:rsid w:val="005E6E42"/>
    <w:rsid w:val="005E76B5"/>
    <w:rsid w:val="005F2DD8"/>
    <w:rsid w:val="005F35BE"/>
    <w:rsid w:val="005F5437"/>
    <w:rsid w:val="005F7752"/>
    <w:rsid w:val="00600112"/>
    <w:rsid w:val="00600F37"/>
    <w:rsid w:val="006032FE"/>
    <w:rsid w:val="0060335E"/>
    <w:rsid w:val="00605B02"/>
    <w:rsid w:val="0060633E"/>
    <w:rsid w:val="0060648C"/>
    <w:rsid w:val="006103E1"/>
    <w:rsid w:val="006129D6"/>
    <w:rsid w:val="00617947"/>
    <w:rsid w:val="00622559"/>
    <w:rsid w:val="00622E3D"/>
    <w:rsid w:val="00622FE7"/>
    <w:rsid w:val="00624765"/>
    <w:rsid w:val="00632AD4"/>
    <w:rsid w:val="006332F5"/>
    <w:rsid w:val="00634F9C"/>
    <w:rsid w:val="00642B7C"/>
    <w:rsid w:val="00644B9A"/>
    <w:rsid w:val="00647CEF"/>
    <w:rsid w:val="0065242F"/>
    <w:rsid w:val="00653A0F"/>
    <w:rsid w:val="006565DC"/>
    <w:rsid w:val="0066183C"/>
    <w:rsid w:val="00662491"/>
    <w:rsid w:val="006629ED"/>
    <w:rsid w:val="006638F3"/>
    <w:rsid w:val="00664765"/>
    <w:rsid w:val="00664ED6"/>
    <w:rsid w:val="00667D0E"/>
    <w:rsid w:val="00670486"/>
    <w:rsid w:val="00670613"/>
    <w:rsid w:val="00670774"/>
    <w:rsid w:val="00670B3E"/>
    <w:rsid w:val="00672022"/>
    <w:rsid w:val="0067578E"/>
    <w:rsid w:val="00675BAB"/>
    <w:rsid w:val="006772C9"/>
    <w:rsid w:val="006775CC"/>
    <w:rsid w:val="00683A55"/>
    <w:rsid w:val="006849D1"/>
    <w:rsid w:val="006850DA"/>
    <w:rsid w:val="006851E3"/>
    <w:rsid w:val="006864D2"/>
    <w:rsid w:val="006879E1"/>
    <w:rsid w:val="006961D5"/>
    <w:rsid w:val="006A25D3"/>
    <w:rsid w:val="006A35BB"/>
    <w:rsid w:val="006A472B"/>
    <w:rsid w:val="006A4B60"/>
    <w:rsid w:val="006A62F2"/>
    <w:rsid w:val="006A67AA"/>
    <w:rsid w:val="006B26D0"/>
    <w:rsid w:val="006B3761"/>
    <w:rsid w:val="006B555E"/>
    <w:rsid w:val="006B7978"/>
    <w:rsid w:val="006C4328"/>
    <w:rsid w:val="006C66E7"/>
    <w:rsid w:val="006D0F39"/>
    <w:rsid w:val="006D2504"/>
    <w:rsid w:val="006D2C2A"/>
    <w:rsid w:val="006D2CA2"/>
    <w:rsid w:val="006D5F2C"/>
    <w:rsid w:val="006D6750"/>
    <w:rsid w:val="006D7773"/>
    <w:rsid w:val="006E0BE8"/>
    <w:rsid w:val="006E3666"/>
    <w:rsid w:val="006E4D01"/>
    <w:rsid w:val="006E58A3"/>
    <w:rsid w:val="006F0211"/>
    <w:rsid w:val="006F0E08"/>
    <w:rsid w:val="006F1D77"/>
    <w:rsid w:val="006F3E8B"/>
    <w:rsid w:val="007002A5"/>
    <w:rsid w:val="00700807"/>
    <w:rsid w:val="00703D28"/>
    <w:rsid w:val="007055B1"/>
    <w:rsid w:val="00705C81"/>
    <w:rsid w:val="007060E5"/>
    <w:rsid w:val="00707F97"/>
    <w:rsid w:val="00714FA3"/>
    <w:rsid w:val="007225C8"/>
    <w:rsid w:val="00723B28"/>
    <w:rsid w:val="00723EC3"/>
    <w:rsid w:val="007240BB"/>
    <w:rsid w:val="0072489E"/>
    <w:rsid w:val="00727A2B"/>
    <w:rsid w:val="0073036C"/>
    <w:rsid w:val="0073302B"/>
    <w:rsid w:val="0073332F"/>
    <w:rsid w:val="007344C2"/>
    <w:rsid w:val="007345A4"/>
    <w:rsid w:val="00735BED"/>
    <w:rsid w:val="00737E3B"/>
    <w:rsid w:val="00740DA6"/>
    <w:rsid w:val="00741289"/>
    <w:rsid w:val="00742FFF"/>
    <w:rsid w:val="00744C69"/>
    <w:rsid w:val="00745BC3"/>
    <w:rsid w:val="00750A06"/>
    <w:rsid w:val="00751227"/>
    <w:rsid w:val="00752430"/>
    <w:rsid w:val="00753C16"/>
    <w:rsid w:val="00761700"/>
    <w:rsid w:val="00763028"/>
    <w:rsid w:val="0076689C"/>
    <w:rsid w:val="007668F5"/>
    <w:rsid w:val="00767C53"/>
    <w:rsid w:val="007726DF"/>
    <w:rsid w:val="00774179"/>
    <w:rsid w:val="00774C24"/>
    <w:rsid w:val="007822A4"/>
    <w:rsid w:val="00783830"/>
    <w:rsid w:val="00787944"/>
    <w:rsid w:val="007928F2"/>
    <w:rsid w:val="00794EA1"/>
    <w:rsid w:val="00795F19"/>
    <w:rsid w:val="007969A8"/>
    <w:rsid w:val="007A18F1"/>
    <w:rsid w:val="007A1AA8"/>
    <w:rsid w:val="007A42A4"/>
    <w:rsid w:val="007A480B"/>
    <w:rsid w:val="007A597F"/>
    <w:rsid w:val="007A6663"/>
    <w:rsid w:val="007A6CA6"/>
    <w:rsid w:val="007B01DF"/>
    <w:rsid w:val="007B174A"/>
    <w:rsid w:val="007B385B"/>
    <w:rsid w:val="007B4E0B"/>
    <w:rsid w:val="007B573E"/>
    <w:rsid w:val="007B7C92"/>
    <w:rsid w:val="007D2A26"/>
    <w:rsid w:val="007D2AC2"/>
    <w:rsid w:val="007D2C5D"/>
    <w:rsid w:val="007D418B"/>
    <w:rsid w:val="007D5D3D"/>
    <w:rsid w:val="007D5DDE"/>
    <w:rsid w:val="007D6A03"/>
    <w:rsid w:val="007E09CB"/>
    <w:rsid w:val="007E22D6"/>
    <w:rsid w:val="007E2F6D"/>
    <w:rsid w:val="007E4F90"/>
    <w:rsid w:val="007E79A1"/>
    <w:rsid w:val="007F2BDA"/>
    <w:rsid w:val="007F372D"/>
    <w:rsid w:val="007F42C3"/>
    <w:rsid w:val="00801B51"/>
    <w:rsid w:val="00806112"/>
    <w:rsid w:val="00806AB2"/>
    <w:rsid w:val="00810EB7"/>
    <w:rsid w:val="008146FD"/>
    <w:rsid w:val="00816896"/>
    <w:rsid w:val="00816DB6"/>
    <w:rsid w:val="0082022B"/>
    <w:rsid w:val="00823D18"/>
    <w:rsid w:val="0082438C"/>
    <w:rsid w:val="008272FE"/>
    <w:rsid w:val="008312E9"/>
    <w:rsid w:val="00832755"/>
    <w:rsid w:val="0083390D"/>
    <w:rsid w:val="00834888"/>
    <w:rsid w:val="0083682C"/>
    <w:rsid w:val="0083774A"/>
    <w:rsid w:val="008405A3"/>
    <w:rsid w:val="00842BC9"/>
    <w:rsid w:val="00844F60"/>
    <w:rsid w:val="00845A81"/>
    <w:rsid w:val="008461FC"/>
    <w:rsid w:val="00847200"/>
    <w:rsid w:val="00851284"/>
    <w:rsid w:val="00851583"/>
    <w:rsid w:val="00852393"/>
    <w:rsid w:val="00853632"/>
    <w:rsid w:val="008547B0"/>
    <w:rsid w:val="008550C4"/>
    <w:rsid w:val="00855429"/>
    <w:rsid w:val="008572C7"/>
    <w:rsid w:val="008610A0"/>
    <w:rsid w:val="00863F99"/>
    <w:rsid w:val="0086458A"/>
    <w:rsid w:val="00870C98"/>
    <w:rsid w:val="00871C19"/>
    <w:rsid w:val="00873BBB"/>
    <w:rsid w:val="0087585E"/>
    <w:rsid w:val="00877442"/>
    <w:rsid w:val="00881EB2"/>
    <w:rsid w:val="008826F0"/>
    <w:rsid w:val="00883E0A"/>
    <w:rsid w:val="00886673"/>
    <w:rsid w:val="00886F07"/>
    <w:rsid w:val="008910D2"/>
    <w:rsid w:val="008915BA"/>
    <w:rsid w:val="00891883"/>
    <w:rsid w:val="00892F18"/>
    <w:rsid w:val="008931DB"/>
    <w:rsid w:val="0089411E"/>
    <w:rsid w:val="0089447A"/>
    <w:rsid w:val="008A1A72"/>
    <w:rsid w:val="008A2439"/>
    <w:rsid w:val="008A3BA4"/>
    <w:rsid w:val="008A5A1A"/>
    <w:rsid w:val="008A6FED"/>
    <w:rsid w:val="008A7903"/>
    <w:rsid w:val="008B06F1"/>
    <w:rsid w:val="008B200B"/>
    <w:rsid w:val="008B389C"/>
    <w:rsid w:val="008B4458"/>
    <w:rsid w:val="008B464B"/>
    <w:rsid w:val="008B465D"/>
    <w:rsid w:val="008C133D"/>
    <w:rsid w:val="008C2798"/>
    <w:rsid w:val="008C3B88"/>
    <w:rsid w:val="008C69DC"/>
    <w:rsid w:val="008C7B85"/>
    <w:rsid w:val="008D1D94"/>
    <w:rsid w:val="008D2CB2"/>
    <w:rsid w:val="008D6F4B"/>
    <w:rsid w:val="008E0DBD"/>
    <w:rsid w:val="008E14C9"/>
    <w:rsid w:val="008E4218"/>
    <w:rsid w:val="008E7D11"/>
    <w:rsid w:val="008F2E33"/>
    <w:rsid w:val="008F2F6E"/>
    <w:rsid w:val="008F5B2B"/>
    <w:rsid w:val="008F686D"/>
    <w:rsid w:val="009051A8"/>
    <w:rsid w:val="00905630"/>
    <w:rsid w:val="00906FE5"/>
    <w:rsid w:val="00907098"/>
    <w:rsid w:val="00911427"/>
    <w:rsid w:val="00911DE9"/>
    <w:rsid w:val="00913CBC"/>
    <w:rsid w:val="00915FA5"/>
    <w:rsid w:val="00920190"/>
    <w:rsid w:val="00921CD9"/>
    <w:rsid w:val="0092234B"/>
    <w:rsid w:val="00923E7E"/>
    <w:rsid w:val="0092486E"/>
    <w:rsid w:val="00930BAE"/>
    <w:rsid w:val="00931745"/>
    <w:rsid w:val="00932E79"/>
    <w:rsid w:val="009335A2"/>
    <w:rsid w:val="009335F0"/>
    <w:rsid w:val="009347FC"/>
    <w:rsid w:val="00934A3F"/>
    <w:rsid w:val="00935055"/>
    <w:rsid w:val="00935123"/>
    <w:rsid w:val="00935E1E"/>
    <w:rsid w:val="00935F52"/>
    <w:rsid w:val="00944232"/>
    <w:rsid w:val="00944D42"/>
    <w:rsid w:val="009457F9"/>
    <w:rsid w:val="00945EED"/>
    <w:rsid w:val="009502E7"/>
    <w:rsid w:val="00950437"/>
    <w:rsid w:val="00950FE4"/>
    <w:rsid w:val="00960139"/>
    <w:rsid w:val="009626D9"/>
    <w:rsid w:val="00963DEF"/>
    <w:rsid w:val="0096412E"/>
    <w:rsid w:val="00965443"/>
    <w:rsid w:val="0096662F"/>
    <w:rsid w:val="009672E3"/>
    <w:rsid w:val="00971639"/>
    <w:rsid w:val="00971F19"/>
    <w:rsid w:val="0097225E"/>
    <w:rsid w:val="00972295"/>
    <w:rsid w:val="009737D3"/>
    <w:rsid w:val="0097616A"/>
    <w:rsid w:val="00976387"/>
    <w:rsid w:val="0097644E"/>
    <w:rsid w:val="00976513"/>
    <w:rsid w:val="00977162"/>
    <w:rsid w:val="00977849"/>
    <w:rsid w:val="00980A82"/>
    <w:rsid w:val="00980B1F"/>
    <w:rsid w:val="00990C9B"/>
    <w:rsid w:val="00994729"/>
    <w:rsid w:val="00995A3F"/>
    <w:rsid w:val="00996EF1"/>
    <w:rsid w:val="0099766D"/>
    <w:rsid w:val="009A2739"/>
    <w:rsid w:val="009A4F3E"/>
    <w:rsid w:val="009A536F"/>
    <w:rsid w:val="009B0760"/>
    <w:rsid w:val="009B0CE0"/>
    <w:rsid w:val="009B2EDB"/>
    <w:rsid w:val="009B3524"/>
    <w:rsid w:val="009B3747"/>
    <w:rsid w:val="009B461F"/>
    <w:rsid w:val="009B4FA8"/>
    <w:rsid w:val="009B52EE"/>
    <w:rsid w:val="009B7EAB"/>
    <w:rsid w:val="009C100E"/>
    <w:rsid w:val="009C27AB"/>
    <w:rsid w:val="009C3A9C"/>
    <w:rsid w:val="009C3B3F"/>
    <w:rsid w:val="009C43C3"/>
    <w:rsid w:val="009C4C1A"/>
    <w:rsid w:val="009C68C7"/>
    <w:rsid w:val="009C6FEA"/>
    <w:rsid w:val="009C7994"/>
    <w:rsid w:val="009D33FB"/>
    <w:rsid w:val="009D4697"/>
    <w:rsid w:val="009D68D2"/>
    <w:rsid w:val="009E0ABE"/>
    <w:rsid w:val="009E256B"/>
    <w:rsid w:val="009E2CB4"/>
    <w:rsid w:val="009E3E2E"/>
    <w:rsid w:val="009E42D1"/>
    <w:rsid w:val="009E4D3B"/>
    <w:rsid w:val="009F0950"/>
    <w:rsid w:val="009F13FE"/>
    <w:rsid w:val="009F3B7E"/>
    <w:rsid w:val="009F6CA3"/>
    <w:rsid w:val="00A01AD6"/>
    <w:rsid w:val="00A06E10"/>
    <w:rsid w:val="00A10943"/>
    <w:rsid w:val="00A13565"/>
    <w:rsid w:val="00A15387"/>
    <w:rsid w:val="00A213CA"/>
    <w:rsid w:val="00A22481"/>
    <w:rsid w:val="00A23486"/>
    <w:rsid w:val="00A2380C"/>
    <w:rsid w:val="00A24A35"/>
    <w:rsid w:val="00A252DC"/>
    <w:rsid w:val="00A300F8"/>
    <w:rsid w:val="00A33144"/>
    <w:rsid w:val="00A354F7"/>
    <w:rsid w:val="00A35682"/>
    <w:rsid w:val="00A37B4C"/>
    <w:rsid w:val="00A37BFF"/>
    <w:rsid w:val="00A413F6"/>
    <w:rsid w:val="00A44326"/>
    <w:rsid w:val="00A44AD0"/>
    <w:rsid w:val="00A50001"/>
    <w:rsid w:val="00A50B9A"/>
    <w:rsid w:val="00A544FD"/>
    <w:rsid w:val="00A5621A"/>
    <w:rsid w:val="00A56FE9"/>
    <w:rsid w:val="00A57F3B"/>
    <w:rsid w:val="00A62E51"/>
    <w:rsid w:val="00A62E9A"/>
    <w:rsid w:val="00A652C3"/>
    <w:rsid w:val="00A6655D"/>
    <w:rsid w:val="00A669A2"/>
    <w:rsid w:val="00A67A61"/>
    <w:rsid w:val="00A7190B"/>
    <w:rsid w:val="00A73838"/>
    <w:rsid w:val="00A746BF"/>
    <w:rsid w:val="00A753DD"/>
    <w:rsid w:val="00A77B32"/>
    <w:rsid w:val="00A84378"/>
    <w:rsid w:val="00A850D0"/>
    <w:rsid w:val="00A8528E"/>
    <w:rsid w:val="00A8648B"/>
    <w:rsid w:val="00A8756F"/>
    <w:rsid w:val="00A8759A"/>
    <w:rsid w:val="00A87E0D"/>
    <w:rsid w:val="00A90470"/>
    <w:rsid w:val="00A90B91"/>
    <w:rsid w:val="00A90D03"/>
    <w:rsid w:val="00A91F80"/>
    <w:rsid w:val="00A94583"/>
    <w:rsid w:val="00A954F9"/>
    <w:rsid w:val="00A95878"/>
    <w:rsid w:val="00A95CBD"/>
    <w:rsid w:val="00AA01A7"/>
    <w:rsid w:val="00AA4572"/>
    <w:rsid w:val="00AA46A3"/>
    <w:rsid w:val="00AA48A2"/>
    <w:rsid w:val="00AA6A2F"/>
    <w:rsid w:val="00AB0916"/>
    <w:rsid w:val="00AB0D6B"/>
    <w:rsid w:val="00AB1D7B"/>
    <w:rsid w:val="00AB361B"/>
    <w:rsid w:val="00AB487A"/>
    <w:rsid w:val="00AB588C"/>
    <w:rsid w:val="00AB58CE"/>
    <w:rsid w:val="00AB63BC"/>
    <w:rsid w:val="00AB752F"/>
    <w:rsid w:val="00AB7581"/>
    <w:rsid w:val="00AC0289"/>
    <w:rsid w:val="00AC0DBB"/>
    <w:rsid w:val="00AC1CFB"/>
    <w:rsid w:val="00AC552A"/>
    <w:rsid w:val="00AC686C"/>
    <w:rsid w:val="00AD1D91"/>
    <w:rsid w:val="00AD2AEC"/>
    <w:rsid w:val="00AD2B9F"/>
    <w:rsid w:val="00AD31BA"/>
    <w:rsid w:val="00AD466E"/>
    <w:rsid w:val="00AD4D9D"/>
    <w:rsid w:val="00AD646F"/>
    <w:rsid w:val="00AD6B6F"/>
    <w:rsid w:val="00AD79CC"/>
    <w:rsid w:val="00AD7F00"/>
    <w:rsid w:val="00AE0873"/>
    <w:rsid w:val="00AE2D11"/>
    <w:rsid w:val="00AE52E9"/>
    <w:rsid w:val="00AE6837"/>
    <w:rsid w:val="00AF5A3E"/>
    <w:rsid w:val="00AF7176"/>
    <w:rsid w:val="00B01A6E"/>
    <w:rsid w:val="00B03463"/>
    <w:rsid w:val="00B03862"/>
    <w:rsid w:val="00B052C0"/>
    <w:rsid w:val="00B05BC7"/>
    <w:rsid w:val="00B074FA"/>
    <w:rsid w:val="00B1039B"/>
    <w:rsid w:val="00B10486"/>
    <w:rsid w:val="00B10611"/>
    <w:rsid w:val="00B1141D"/>
    <w:rsid w:val="00B11A91"/>
    <w:rsid w:val="00B13498"/>
    <w:rsid w:val="00B1529B"/>
    <w:rsid w:val="00B17BE3"/>
    <w:rsid w:val="00B22D75"/>
    <w:rsid w:val="00B309E6"/>
    <w:rsid w:val="00B30E05"/>
    <w:rsid w:val="00B32FFF"/>
    <w:rsid w:val="00B33943"/>
    <w:rsid w:val="00B34436"/>
    <w:rsid w:val="00B37D3D"/>
    <w:rsid w:val="00B41D66"/>
    <w:rsid w:val="00B44D90"/>
    <w:rsid w:val="00B46BBD"/>
    <w:rsid w:val="00B47D5A"/>
    <w:rsid w:val="00B56734"/>
    <w:rsid w:val="00B620BA"/>
    <w:rsid w:val="00B63D94"/>
    <w:rsid w:val="00B63E23"/>
    <w:rsid w:val="00B64FF9"/>
    <w:rsid w:val="00B668EE"/>
    <w:rsid w:val="00B6705E"/>
    <w:rsid w:val="00B730E0"/>
    <w:rsid w:val="00B742C5"/>
    <w:rsid w:val="00B7431A"/>
    <w:rsid w:val="00B7535C"/>
    <w:rsid w:val="00B771F4"/>
    <w:rsid w:val="00B806AF"/>
    <w:rsid w:val="00B82082"/>
    <w:rsid w:val="00B82192"/>
    <w:rsid w:val="00B8258E"/>
    <w:rsid w:val="00B826E6"/>
    <w:rsid w:val="00B83094"/>
    <w:rsid w:val="00B84866"/>
    <w:rsid w:val="00B873FA"/>
    <w:rsid w:val="00B87DC9"/>
    <w:rsid w:val="00B90B64"/>
    <w:rsid w:val="00B9103C"/>
    <w:rsid w:val="00B91B42"/>
    <w:rsid w:val="00B9329D"/>
    <w:rsid w:val="00B948FE"/>
    <w:rsid w:val="00B979B8"/>
    <w:rsid w:val="00BA5DA7"/>
    <w:rsid w:val="00BA686F"/>
    <w:rsid w:val="00BA6BD7"/>
    <w:rsid w:val="00BA7D92"/>
    <w:rsid w:val="00BB1628"/>
    <w:rsid w:val="00BB26EE"/>
    <w:rsid w:val="00BB29C4"/>
    <w:rsid w:val="00BB519A"/>
    <w:rsid w:val="00BB733C"/>
    <w:rsid w:val="00BB748A"/>
    <w:rsid w:val="00BC06F3"/>
    <w:rsid w:val="00BC60A9"/>
    <w:rsid w:val="00BC656E"/>
    <w:rsid w:val="00BC776E"/>
    <w:rsid w:val="00BC7D75"/>
    <w:rsid w:val="00BD23D1"/>
    <w:rsid w:val="00BD253B"/>
    <w:rsid w:val="00BD38B8"/>
    <w:rsid w:val="00BD4599"/>
    <w:rsid w:val="00BD615B"/>
    <w:rsid w:val="00BD6238"/>
    <w:rsid w:val="00BE1E53"/>
    <w:rsid w:val="00BE3A19"/>
    <w:rsid w:val="00BE4AE0"/>
    <w:rsid w:val="00BE579C"/>
    <w:rsid w:val="00BE5D90"/>
    <w:rsid w:val="00BE60E7"/>
    <w:rsid w:val="00BE7FBB"/>
    <w:rsid w:val="00BF0F53"/>
    <w:rsid w:val="00BF2423"/>
    <w:rsid w:val="00BF46F1"/>
    <w:rsid w:val="00C0018B"/>
    <w:rsid w:val="00C018CA"/>
    <w:rsid w:val="00C02076"/>
    <w:rsid w:val="00C02F9C"/>
    <w:rsid w:val="00C046D8"/>
    <w:rsid w:val="00C07180"/>
    <w:rsid w:val="00C077AE"/>
    <w:rsid w:val="00C10CAF"/>
    <w:rsid w:val="00C10F3D"/>
    <w:rsid w:val="00C11226"/>
    <w:rsid w:val="00C117CF"/>
    <w:rsid w:val="00C13502"/>
    <w:rsid w:val="00C14EDE"/>
    <w:rsid w:val="00C167C0"/>
    <w:rsid w:val="00C2006C"/>
    <w:rsid w:val="00C20422"/>
    <w:rsid w:val="00C209CC"/>
    <w:rsid w:val="00C20F64"/>
    <w:rsid w:val="00C24D3D"/>
    <w:rsid w:val="00C25D14"/>
    <w:rsid w:val="00C25E9E"/>
    <w:rsid w:val="00C26810"/>
    <w:rsid w:val="00C27509"/>
    <w:rsid w:val="00C321B6"/>
    <w:rsid w:val="00C335DC"/>
    <w:rsid w:val="00C34AB4"/>
    <w:rsid w:val="00C36C90"/>
    <w:rsid w:val="00C37D44"/>
    <w:rsid w:val="00C37EB6"/>
    <w:rsid w:val="00C41827"/>
    <w:rsid w:val="00C42E15"/>
    <w:rsid w:val="00C43B9D"/>
    <w:rsid w:val="00C44097"/>
    <w:rsid w:val="00C451EA"/>
    <w:rsid w:val="00C45500"/>
    <w:rsid w:val="00C455FE"/>
    <w:rsid w:val="00C47A32"/>
    <w:rsid w:val="00C5204F"/>
    <w:rsid w:val="00C53F6D"/>
    <w:rsid w:val="00C61A53"/>
    <w:rsid w:val="00C61BC1"/>
    <w:rsid w:val="00C70723"/>
    <w:rsid w:val="00C726A6"/>
    <w:rsid w:val="00C73019"/>
    <w:rsid w:val="00C73BB2"/>
    <w:rsid w:val="00C749F9"/>
    <w:rsid w:val="00C74BD6"/>
    <w:rsid w:val="00C7677A"/>
    <w:rsid w:val="00C8202B"/>
    <w:rsid w:val="00C83331"/>
    <w:rsid w:val="00C833E0"/>
    <w:rsid w:val="00C836BA"/>
    <w:rsid w:val="00C8565F"/>
    <w:rsid w:val="00C8702F"/>
    <w:rsid w:val="00C87BC5"/>
    <w:rsid w:val="00C90763"/>
    <w:rsid w:val="00C94BE9"/>
    <w:rsid w:val="00C95043"/>
    <w:rsid w:val="00C953F1"/>
    <w:rsid w:val="00C95E70"/>
    <w:rsid w:val="00C96746"/>
    <w:rsid w:val="00C96A52"/>
    <w:rsid w:val="00CA0054"/>
    <w:rsid w:val="00CA0298"/>
    <w:rsid w:val="00CA09F1"/>
    <w:rsid w:val="00CA48EF"/>
    <w:rsid w:val="00CA50D2"/>
    <w:rsid w:val="00CB05BE"/>
    <w:rsid w:val="00CB141A"/>
    <w:rsid w:val="00CB1F71"/>
    <w:rsid w:val="00CB3659"/>
    <w:rsid w:val="00CC2238"/>
    <w:rsid w:val="00CC322A"/>
    <w:rsid w:val="00CC3861"/>
    <w:rsid w:val="00CD136C"/>
    <w:rsid w:val="00CD252D"/>
    <w:rsid w:val="00CD6A8C"/>
    <w:rsid w:val="00CD6B41"/>
    <w:rsid w:val="00CD6FC4"/>
    <w:rsid w:val="00CD7199"/>
    <w:rsid w:val="00CD7FCE"/>
    <w:rsid w:val="00CE04D4"/>
    <w:rsid w:val="00CE2E76"/>
    <w:rsid w:val="00CE54A7"/>
    <w:rsid w:val="00CE57A9"/>
    <w:rsid w:val="00CE62DF"/>
    <w:rsid w:val="00CE76B8"/>
    <w:rsid w:val="00CF2F23"/>
    <w:rsid w:val="00CF458C"/>
    <w:rsid w:val="00CF6343"/>
    <w:rsid w:val="00D02288"/>
    <w:rsid w:val="00D030AA"/>
    <w:rsid w:val="00D04389"/>
    <w:rsid w:val="00D04762"/>
    <w:rsid w:val="00D06FEA"/>
    <w:rsid w:val="00D11847"/>
    <w:rsid w:val="00D11B7D"/>
    <w:rsid w:val="00D1229E"/>
    <w:rsid w:val="00D13162"/>
    <w:rsid w:val="00D13234"/>
    <w:rsid w:val="00D1404E"/>
    <w:rsid w:val="00D168C9"/>
    <w:rsid w:val="00D16EAC"/>
    <w:rsid w:val="00D16F0F"/>
    <w:rsid w:val="00D206C3"/>
    <w:rsid w:val="00D20B9E"/>
    <w:rsid w:val="00D226E9"/>
    <w:rsid w:val="00D23B44"/>
    <w:rsid w:val="00D269D5"/>
    <w:rsid w:val="00D32851"/>
    <w:rsid w:val="00D33058"/>
    <w:rsid w:val="00D34027"/>
    <w:rsid w:val="00D35327"/>
    <w:rsid w:val="00D3595E"/>
    <w:rsid w:val="00D359F9"/>
    <w:rsid w:val="00D37D15"/>
    <w:rsid w:val="00D4028D"/>
    <w:rsid w:val="00D41F62"/>
    <w:rsid w:val="00D453C7"/>
    <w:rsid w:val="00D4780F"/>
    <w:rsid w:val="00D52102"/>
    <w:rsid w:val="00D52179"/>
    <w:rsid w:val="00D52735"/>
    <w:rsid w:val="00D52E0E"/>
    <w:rsid w:val="00D53C92"/>
    <w:rsid w:val="00D57DA0"/>
    <w:rsid w:val="00D57DA7"/>
    <w:rsid w:val="00D57F1D"/>
    <w:rsid w:val="00D60081"/>
    <w:rsid w:val="00D61401"/>
    <w:rsid w:val="00D614EB"/>
    <w:rsid w:val="00D61628"/>
    <w:rsid w:val="00D62366"/>
    <w:rsid w:val="00D63D4E"/>
    <w:rsid w:val="00D73E84"/>
    <w:rsid w:val="00D74C05"/>
    <w:rsid w:val="00D771DD"/>
    <w:rsid w:val="00D7732A"/>
    <w:rsid w:val="00D774F5"/>
    <w:rsid w:val="00D82DBE"/>
    <w:rsid w:val="00D8458D"/>
    <w:rsid w:val="00D85D89"/>
    <w:rsid w:val="00D86CE9"/>
    <w:rsid w:val="00D8734F"/>
    <w:rsid w:val="00D877ED"/>
    <w:rsid w:val="00D90453"/>
    <w:rsid w:val="00D91B4A"/>
    <w:rsid w:val="00D92192"/>
    <w:rsid w:val="00D96D4F"/>
    <w:rsid w:val="00D97433"/>
    <w:rsid w:val="00D97CC6"/>
    <w:rsid w:val="00DA025D"/>
    <w:rsid w:val="00DA1EF2"/>
    <w:rsid w:val="00DA1F88"/>
    <w:rsid w:val="00DA7D1B"/>
    <w:rsid w:val="00DB0123"/>
    <w:rsid w:val="00DB0A82"/>
    <w:rsid w:val="00DB162F"/>
    <w:rsid w:val="00DB1E21"/>
    <w:rsid w:val="00DB3C5A"/>
    <w:rsid w:val="00DB3EA0"/>
    <w:rsid w:val="00DB6221"/>
    <w:rsid w:val="00DB72CC"/>
    <w:rsid w:val="00DC0F5F"/>
    <w:rsid w:val="00DC2FF5"/>
    <w:rsid w:val="00DC3564"/>
    <w:rsid w:val="00DC37F6"/>
    <w:rsid w:val="00DC3E51"/>
    <w:rsid w:val="00DC57BB"/>
    <w:rsid w:val="00DC6F00"/>
    <w:rsid w:val="00DC73BF"/>
    <w:rsid w:val="00DC7567"/>
    <w:rsid w:val="00DC776D"/>
    <w:rsid w:val="00DD26B3"/>
    <w:rsid w:val="00DD60C9"/>
    <w:rsid w:val="00DE0F87"/>
    <w:rsid w:val="00DE2472"/>
    <w:rsid w:val="00DE3819"/>
    <w:rsid w:val="00DE4908"/>
    <w:rsid w:val="00DE4FC7"/>
    <w:rsid w:val="00DE505E"/>
    <w:rsid w:val="00DE5CF2"/>
    <w:rsid w:val="00DE75C1"/>
    <w:rsid w:val="00DF00DD"/>
    <w:rsid w:val="00DF1265"/>
    <w:rsid w:val="00DF23CA"/>
    <w:rsid w:val="00DF33F9"/>
    <w:rsid w:val="00DF5195"/>
    <w:rsid w:val="00DF7392"/>
    <w:rsid w:val="00E00B28"/>
    <w:rsid w:val="00E026E1"/>
    <w:rsid w:val="00E03488"/>
    <w:rsid w:val="00E041A6"/>
    <w:rsid w:val="00E1306C"/>
    <w:rsid w:val="00E14247"/>
    <w:rsid w:val="00E1652E"/>
    <w:rsid w:val="00E16916"/>
    <w:rsid w:val="00E1755E"/>
    <w:rsid w:val="00E20691"/>
    <w:rsid w:val="00E24CAA"/>
    <w:rsid w:val="00E27C0F"/>
    <w:rsid w:val="00E305B1"/>
    <w:rsid w:val="00E3146D"/>
    <w:rsid w:val="00E318B7"/>
    <w:rsid w:val="00E319CF"/>
    <w:rsid w:val="00E32452"/>
    <w:rsid w:val="00E33085"/>
    <w:rsid w:val="00E34821"/>
    <w:rsid w:val="00E34C82"/>
    <w:rsid w:val="00E357E4"/>
    <w:rsid w:val="00E357EB"/>
    <w:rsid w:val="00E35804"/>
    <w:rsid w:val="00E362E6"/>
    <w:rsid w:val="00E40184"/>
    <w:rsid w:val="00E406A0"/>
    <w:rsid w:val="00E40CAC"/>
    <w:rsid w:val="00E43E7F"/>
    <w:rsid w:val="00E44944"/>
    <w:rsid w:val="00E45750"/>
    <w:rsid w:val="00E45784"/>
    <w:rsid w:val="00E503C5"/>
    <w:rsid w:val="00E55396"/>
    <w:rsid w:val="00E571E0"/>
    <w:rsid w:val="00E5739F"/>
    <w:rsid w:val="00E61A45"/>
    <w:rsid w:val="00E61CE9"/>
    <w:rsid w:val="00E62711"/>
    <w:rsid w:val="00E6304F"/>
    <w:rsid w:val="00E6341D"/>
    <w:rsid w:val="00E63B3D"/>
    <w:rsid w:val="00E65AF2"/>
    <w:rsid w:val="00E70074"/>
    <w:rsid w:val="00E72660"/>
    <w:rsid w:val="00E74D01"/>
    <w:rsid w:val="00E75549"/>
    <w:rsid w:val="00E7575E"/>
    <w:rsid w:val="00E771B2"/>
    <w:rsid w:val="00E80D4B"/>
    <w:rsid w:val="00E83E8D"/>
    <w:rsid w:val="00E8780B"/>
    <w:rsid w:val="00E9023B"/>
    <w:rsid w:val="00E91044"/>
    <w:rsid w:val="00E9245C"/>
    <w:rsid w:val="00E948FB"/>
    <w:rsid w:val="00E9636B"/>
    <w:rsid w:val="00E96866"/>
    <w:rsid w:val="00EA24E4"/>
    <w:rsid w:val="00EA444E"/>
    <w:rsid w:val="00EA5B86"/>
    <w:rsid w:val="00EA6A3E"/>
    <w:rsid w:val="00EB0084"/>
    <w:rsid w:val="00EB0A6E"/>
    <w:rsid w:val="00EB30E1"/>
    <w:rsid w:val="00EB51AE"/>
    <w:rsid w:val="00EB7500"/>
    <w:rsid w:val="00EB77BB"/>
    <w:rsid w:val="00EC23FA"/>
    <w:rsid w:val="00EC2EA8"/>
    <w:rsid w:val="00EC4854"/>
    <w:rsid w:val="00EC4AD5"/>
    <w:rsid w:val="00EC5BD6"/>
    <w:rsid w:val="00ED06D6"/>
    <w:rsid w:val="00ED23D4"/>
    <w:rsid w:val="00ED3A41"/>
    <w:rsid w:val="00ED3B05"/>
    <w:rsid w:val="00ED5698"/>
    <w:rsid w:val="00ED6E0F"/>
    <w:rsid w:val="00ED7EE3"/>
    <w:rsid w:val="00EE1D15"/>
    <w:rsid w:val="00EE6120"/>
    <w:rsid w:val="00EE77A6"/>
    <w:rsid w:val="00EF00F2"/>
    <w:rsid w:val="00EF1C16"/>
    <w:rsid w:val="00EF2E63"/>
    <w:rsid w:val="00EF3AFF"/>
    <w:rsid w:val="00F00934"/>
    <w:rsid w:val="00F00C3C"/>
    <w:rsid w:val="00F05209"/>
    <w:rsid w:val="00F05C9E"/>
    <w:rsid w:val="00F065F4"/>
    <w:rsid w:val="00F07455"/>
    <w:rsid w:val="00F07699"/>
    <w:rsid w:val="00F11190"/>
    <w:rsid w:val="00F12603"/>
    <w:rsid w:val="00F1277A"/>
    <w:rsid w:val="00F12ABD"/>
    <w:rsid w:val="00F1379E"/>
    <w:rsid w:val="00F1415C"/>
    <w:rsid w:val="00F146A4"/>
    <w:rsid w:val="00F14BBF"/>
    <w:rsid w:val="00F16FFD"/>
    <w:rsid w:val="00F200B9"/>
    <w:rsid w:val="00F216D3"/>
    <w:rsid w:val="00F24B6B"/>
    <w:rsid w:val="00F25C38"/>
    <w:rsid w:val="00F26A6F"/>
    <w:rsid w:val="00F32215"/>
    <w:rsid w:val="00F32617"/>
    <w:rsid w:val="00F36A7D"/>
    <w:rsid w:val="00F41E78"/>
    <w:rsid w:val="00F421D3"/>
    <w:rsid w:val="00F42541"/>
    <w:rsid w:val="00F4550B"/>
    <w:rsid w:val="00F46FF6"/>
    <w:rsid w:val="00F47508"/>
    <w:rsid w:val="00F478F7"/>
    <w:rsid w:val="00F50783"/>
    <w:rsid w:val="00F52EB9"/>
    <w:rsid w:val="00F5335B"/>
    <w:rsid w:val="00F55693"/>
    <w:rsid w:val="00F558D4"/>
    <w:rsid w:val="00F5610C"/>
    <w:rsid w:val="00F5616E"/>
    <w:rsid w:val="00F627DF"/>
    <w:rsid w:val="00F62E76"/>
    <w:rsid w:val="00F64BE7"/>
    <w:rsid w:val="00F67AF8"/>
    <w:rsid w:val="00F67D02"/>
    <w:rsid w:val="00F70258"/>
    <w:rsid w:val="00F704D3"/>
    <w:rsid w:val="00F72E4D"/>
    <w:rsid w:val="00F73004"/>
    <w:rsid w:val="00F736A5"/>
    <w:rsid w:val="00F75E79"/>
    <w:rsid w:val="00F7678B"/>
    <w:rsid w:val="00F804DD"/>
    <w:rsid w:val="00F82BE2"/>
    <w:rsid w:val="00F837FF"/>
    <w:rsid w:val="00F8697D"/>
    <w:rsid w:val="00F86B78"/>
    <w:rsid w:val="00F877B5"/>
    <w:rsid w:val="00F87D9C"/>
    <w:rsid w:val="00F9120E"/>
    <w:rsid w:val="00F93B4E"/>
    <w:rsid w:val="00F94F96"/>
    <w:rsid w:val="00F95B4D"/>
    <w:rsid w:val="00F9765A"/>
    <w:rsid w:val="00F97A0B"/>
    <w:rsid w:val="00F97E92"/>
    <w:rsid w:val="00FA6539"/>
    <w:rsid w:val="00FB0559"/>
    <w:rsid w:val="00FB2804"/>
    <w:rsid w:val="00FB28B9"/>
    <w:rsid w:val="00FB2A72"/>
    <w:rsid w:val="00FB31E1"/>
    <w:rsid w:val="00FB7520"/>
    <w:rsid w:val="00FB7CBA"/>
    <w:rsid w:val="00FC1251"/>
    <w:rsid w:val="00FC464F"/>
    <w:rsid w:val="00FC4745"/>
    <w:rsid w:val="00FC54EF"/>
    <w:rsid w:val="00FC59D3"/>
    <w:rsid w:val="00FC5BE8"/>
    <w:rsid w:val="00FD0C65"/>
    <w:rsid w:val="00FD284C"/>
    <w:rsid w:val="00FD2E52"/>
    <w:rsid w:val="00FD3B77"/>
    <w:rsid w:val="00FD6164"/>
    <w:rsid w:val="00FD664E"/>
    <w:rsid w:val="00FE1D09"/>
    <w:rsid w:val="00FE2CF5"/>
    <w:rsid w:val="00FE4CE7"/>
    <w:rsid w:val="00FE53F5"/>
    <w:rsid w:val="00FE58B7"/>
    <w:rsid w:val="00FF0DCD"/>
    <w:rsid w:val="00FF1410"/>
    <w:rsid w:val="00FF21E8"/>
    <w:rsid w:val="00FF28A9"/>
    <w:rsid w:val="00FF2B7E"/>
    <w:rsid w:val="00FF4A34"/>
    <w:rsid w:val="00FF4C9B"/>
    <w:rsid w:val="00FF596D"/>
    <w:rsid w:val="00FF63D1"/>
    <w:rsid w:val="00FF65EE"/>
    <w:rsid w:val="45572E76"/>
    <w:rsid w:val="73BB7E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100B38B9"/>
  <w15:docId w15:val="{B6F3414B-8168-4342-A352-36326D6AD7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2" w:qFormat="1"/>
    <w:lsdException w:name="heading 3" w:qFormat="1"/>
    <w:lsdException w:name="heading 4" w:qFormat="1"/>
    <w:lsdException w:name="heading 5" w:semiHidden="1" w:unhideWhenUsed="1" w:qFormat="1"/>
    <w:lsdException w:name="heading 6" w:semiHidden="1" w:unhideWhenUsed="1"/>
    <w:lsdException w:name="heading 7" w:semiHidden="1" w:unhideWhenUsed="1" w:qFormat="1"/>
    <w:lsdException w:name="heading 8" w:semiHidden="1" w:unhideWhenUsed="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Bullet" w:semiHidden="1" w:unhideWhenUsed="1" w:qFormat="1"/>
    <w:lsdException w:name="List Number" w:semiHidden="1" w:uiPriority="99" w:unhideWhenUsed="1"/>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semiHidden="1" w:uiPriority="99" w:unhideWhenUsed="1"/>
    <w:lsdException w:name="Title" w:uiPriority="99"/>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locked="1"/>
    <w:lsdException w:name="Emphasis" w:uiPriority="99"/>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99"/>
    <w:lsdException w:name="Bibliography" w:semiHidden="1" w:uiPriority="99"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uiPriority w:val="99"/>
    <w:qFormat/>
    <w:rsid w:val="003E5C23"/>
    <w:pPr>
      <w:spacing w:before="180" w:after="60"/>
    </w:pPr>
    <w:rPr>
      <w:rFonts w:ascii="Century Gothic" w:hAnsi="Century Gothic"/>
      <w:color w:val="000000" w:themeColor="text1"/>
      <w:sz w:val="22"/>
      <w:szCs w:val="22"/>
      <w:lang w:eastAsia="en-GB"/>
    </w:rPr>
  </w:style>
  <w:style w:type="paragraph" w:styleId="Heading1">
    <w:name w:val="heading 1"/>
    <w:aliases w:val="CS IBM-Heading 1"/>
    <w:basedOn w:val="Normal"/>
    <w:next w:val="CS-IBMResponseText"/>
    <w:autoRedefine/>
    <w:uiPriority w:val="99"/>
    <w:rsid w:val="00E14247"/>
    <w:pPr>
      <w:keepNext/>
      <w:pageBreakBefore/>
      <w:tabs>
        <w:tab w:val="left" w:pos="0"/>
        <w:tab w:val="left" w:pos="720"/>
      </w:tabs>
      <w:spacing w:before="0" w:after="240"/>
      <w:jc w:val="center"/>
      <w:outlineLvl w:val="0"/>
    </w:pPr>
    <w:rPr>
      <w:rFonts w:cs="Arial"/>
      <w:b/>
      <w:color w:val="0070C0"/>
      <w:sz w:val="44"/>
      <w:szCs w:val="48"/>
    </w:rPr>
  </w:style>
  <w:style w:type="paragraph" w:styleId="Heading2">
    <w:name w:val="heading 2"/>
    <w:aliases w:val="CS IBM-Heading 2"/>
    <w:basedOn w:val="Normal"/>
    <w:next w:val="CS-IBMResponseText"/>
    <w:uiPriority w:val="99"/>
    <w:qFormat/>
    <w:rsid w:val="003E58D5"/>
    <w:pPr>
      <w:keepNext/>
      <w:numPr>
        <w:ilvl w:val="1"/>
        <w:numId w:val="24"/>
      </w:numPr>
      <w:tabs>
        <w:tab w:val="left" w:pos="0"/>
        <w:tab w:val="left" w:pos="720"/>
      </w:tabs>
      <w:spacing w:before="300" w:after="120"/>
      <w:jc w:val="both"/>
      <w:outlineLvl w:val="1"/>
    </w:pPr>
    <w:rPr>
      <w:rFonts w:cs="Arial"/>
      <w:color w:val="008BFF"/>
      <w:sz w:val="36"/>
      <w:szCs w:val="40"/>
    </w:rPr>
  </w:style>
  <w:style w:type="paragraph" w:styleId="Heading3">
    <w:name w:val="heading 3"/>
    <w:aliases w:val="CS IBM-Heading 3"/>
    <w:basedOn w:val="Normal"/>
    <w:next w:val="CS-IBMResponseText"/>
    <w:link w:val="Heading3Char"/>
    <w:uiPriority w:val="99"/>
    <w:qFormat/>
    <w:rsid w:val="00965443"/>
    <w:pPr>
      <w:keepNext/>
      <w:numPr>
        <w:ilvl w:val="2"/>
        <w:numId w:val="24"/>
      </w:numPr>
      <w:tabs>
        <w:tab w:val="left" w:pos="0"/>
      </w:tabs>
      <w:spacing w:before="240" w:after="120"/>
      <w:outlineLvl w:val="2"/>
    </w:pPr>
    <w:rPr>
      <w:rFonts w:cs="Arial"/>
      <w:color w:val="0070C0"/>
      <w:sz w:val="32"/>
      <w:szCs w:val="36"/>
    </w:rPr>
  </w:style>
  <w:style w:type="paragraph" w:styleId="Heading4">
    <w:name w:val="heading 4"/>
    <w:aliases w:val="CS IBM-Heading 4"/>
    <w:basedOn w:val="Normal"/>
    <w:next w:val="CS-IBMResponseText"/>
    <w:uiPriority w:val="99"/>
    <w:qFormat/>
    <w:rsid w:val="00871C19"/>
    <w:pPr>
      <w:keepNext/>
      <w:tabs>
        <w:tab w:val="left" w:pos="0"/>
        <w:tab w:val="left" w:pos="720"/>
      </w:tabs>
      <w:spacing w:before="300" w:after="120"/>
      <w:ind w:left="864" w:hanging="864"/>
      <w:jc w:val="both"/>
      <w:outlineLvl w:val="3"/>
    </w:pPr>
    <w:rPr>
      <w:rFonts w:cs="Arial"/>
      <w:iCs/>
      <w:color w:val="0070C0"/>
      <w:sz w:val="28"/>
      <w:szCs w:val="28"/>
    </w:rPr>
  </w:style>
  <w:style w:type="paragraph" w:styleId="Heading5">
    <w:name w:val="heading 5"/>
    <w:basedOn w:val="Normal"/>
    <w:next w:val="Normal"/>
    <w:uiPriority w:val="99"/>
    <w:qFormat/>
    <w:rsid w:val="00A56FE9"/>
    <w:pPr>
      <w:numPr>
        <w:ilvl w:val="4"/>
        <w:numId w:val="24"/>
      </w:numPr>
      <w:spacing w:before="300" w:after="120"/>
      <w:jc w:val="both"/>
      <w:outlineLvl w:val="4"/>
    </w:pPr>
    <w:rPr>
      <w:rFonts w:ascii="IBM Plex Sans" w:hAnsi="IBM Plex Sans" w:cs="Arial"/>
      <w:b/>
      <w:color w:val="808080" w:themeColor="background1" w:themeShade="80"/>
      <w:szCs w:val="28"/>
    </w:rPr>
  </w:style>
  <w:style w:type="paragraph" w:styleId="Heading6">
    <w:name w:val="heading 6"/>
    <w:basedOn w:val="Heading5"/>
    <w:next w:val="Normal"/>
    <w:uiPriority w:val="99"/>
    <w:rsid w:val="009335A2"/>
    <w:pPr>
      <w:numPr>
        <w:ilvl w:val="5"/>
      </w:numPr>
      <w:outlineLvl w:val="5"/>
    </w:pPr>
    <w:rPr>
      <w:bCs/>
      <w:i/>
      <w:color w:val="2A0A18"/>
      <w:szCs w:val="26"/>
    </w:rPr>
  </w:style>
  <w:style w:type="paragraph" w:styleId="Heading7">
    <w:name w:val="heading 7"/>
    <w:basedOn w:val="Heading6"/>
    <w:next w:val="Normal"/>
    <w:uiPriority w:val="99"/>
    <w:qFormat/>
    <w:rsid w:val="009335A2"/>
    <w:pPr>
      <w:numPr>
        <w:ilvl w:val="6"/>
      </w:numPr>
      <w:outlineLvl w:val="6"/>
    </w:pPr>
    <w:rPr>
      <w:bCs w:val="0"/>
      <w:i w:val="0"/>
      <w:color w:val="565151"/>
      <w:szCs w:val="24"/>
      <w:u w:val="single"/>
    </w:rPr>
  </w:style>
  <w:style w:type="paragraph" w:styleId="Heading8">
    <w:name w:val="heading 8"/>
    <w:basedOn w:val="Heading7"/>
    <w:next w:val="Normal"/>
    <w:uiPriority w:val="99"/>
    <w:rsid w:val="001A372E"/>
    <w:pPr>
      <w:numPr>
        <w:ilvl w:val="7"/>
      </w:numPr>
      <w:outlineLvl w:val="7"/>
    </w:pPr>
    <w:rPr>
      <w:i/>
      <w:u w:val="none"/>
    </w:rPr>
  </w:style>
  <w:style w:type="paragraph" w:styleId="Heading9">
    <w:name w:val="heading 9"/>
    <w:basedOn w:val="Heading8"/>
    <w:next w:val="Normal"/>
    <w:uiPriority w:val="99"/>
    <w:rsid w:val="001A372E"/>
    <w:pPr>
      <w:numPr>
        <w:ilvl w:val="8"/>
      </w:numPr>
      <w:outlineLvl w:val="8"/>
    </w:pPr>
    <w:rPr>
      <w:i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styleId="111111">
    <w:name w:val="Outline List 2"/>
    <w:basedOn w:val="NoList"/>
    <w:semiHidden/>
    <w:rsid w:val="002C48F8"/>
    <w:pPr>
      <w:numPr>
        <w:numId w:val="4"/>
      </w:numPr>
    </w:pPr>
  </w:style>
  <w:style w:type="paragraph" w:customStyle="1" w:styleId="CS-IBMTemplateStyleGuidedonotuseforresponse">
    <w:name w:val="CS-IBM Template Style Guide (do not use for response)"/>
    <w:basedOn w:val="CS-IBMResponseText"/>
    <w:qFormat/>
    <w:rsid w:val="00464519"/>
    <w:rPr>
      <w:b/>
      <w:bCs/>
      <w:i/>
      <w:color w:val="FF0000"/>
      <w:sz w:val="20"/>
    </w:rPr>
  </w:style>
  <w:style w:type="numbering" w:styleId="1ai">
    <w:name w:val="Outline List 1"/>
    <w:basedOn w:val="NoList"/>
    <w:semiHidden/>
    <w:rsid w:val="002C48F8"/>
    <w:pPr>
      <w:numPr>
        <w:numId w:val="5"/>
      </w:numPr>
    </w:pPr>
  </w:style>
  <w:style w:type="numbering" w:styleId="ArticleSection">
    <w:name w:val="Outline List 3"/>
    <w:basedOn w:val="NoList"/>
    <w:semiHidden/>
    <w:rsid w:val="002C48F8"/>
    <w:pPr>
      <w:numPr>
        <w:numId w:val="6"/>
      </w:numPr>
    </w:pPr>
  </w:style>
  <w:style w:type="paragraph" w:styleId="BlockText">
    <w:name w:val="Block Text"/>
    <w:basedOn w:val="Normal"/>
    <w:uiPriority w:val="99"/>
    <w:semiHidden/>
    <w:rsid w:val="00D60081"/>
    <w:pPr>
      <w:ind w:left="1440" w:right="1440"/>
    </w:pPr>
  </w:style>
  <w:style w:type="paragraph" w:styleId="BodyText2">
    <w:name w:val="Body Text 2"/>
    <w:basedOn w:val="Normal"/>
    <w:uiPriority w:val="99"/>
    <w:semiHidden/>
    <w:rsid w:val="00D60081"/>
    <w:pPr>
      <w:spacing w:line="480" w:lineRule="auto"/>
    </w:pPr>
  </w:style>
  <w:style w:type="paragraph" w:styleId="BodyText3">
    <w:name w:val="Body Text 3"/>
    <w:basedOn w:val="Normal"/>
    <w:uiPriority w:val="99"/>
    <w:semiHidden/>
    <w:rsid w:val="00D60081"/>
    <w:rPr>
      <w:sz w:val="16"/>
      <w:szCs w:val="16"/>
    </w:rPr>
  </w:style>
  <w:style w:type="paragraph" w:styleId="BodyTextFirstIndent">
    <w:name w:val="Body Text First Indent"/>
    <w:basedOn w:val="Normal"/>
    <w:uiPriority w:val="99"/>
    <w:semiHidden/>
    <w:rsid w:val="00A56FE9"/>
    <w:pPr>
      <w:spacing w:before="120" w:after="120"/>
      <w:ind w:firstLine="210"/>
      <w:jc w:val="both"/>
    </w:pPr>
    <w:rPr>
      <w:rFonts w:ascii="IBM Plex Sans" w:hAnsi="IBM Plex Sans" w:cs="Arial"/>
      <w:szCs w:val="21"/>
    </w:rPr>
  </w:style>
  <w:style w:type="paragraph" w:styleId="BodyTextFirstIndent2">
    <w:name w:val="Body Text First Indent 2"/>
    <w:basedOn w:val="Normal"/>
    <w:uiPriority w:val="99"/>
    <w:semiHidden/>
    <w:rsid w:val="00FE53F5"/>
    <w:pPr>
      <w:ind w:firstLine="210"/>
    </w:pPr>
  </w:style>
  <w:style w:type="paragraph" w:styleId="BodyTextIndent2">
    <w:name w:val="Body Text Indent 2"/>
    <w:basedOn w:val="Normal"/>
    <w:uiPriority w:val="99"/>
    <w:semiHidden/>
    <w:unhideWhenUsed/>
    <w:rsid w:val="00D60081"/>
    <w:pPr>
      <w:spacing w:line="480" w:lineRule="auto"/>
      <w:ind w:left="283"/>
    </w:pPr>
  </w:style>
  <w:style w:type="paragraph" w:styleId="BodyTextIndent3">
    <w:name w:val="Body Text Indent 3"/>
    <w:basedOn w:val="Normal"/>
    <w:uiPriority w:val="99"/>
    <w:semiHidden/>
    <w:unhideWhenUsed/>
    <w:rsid w:val="00D60081"/>
    <w:pPr>
      <w:ind w:left="283"/>
    </w:pPr>
    <w:rPr>
      <w:sz w:val="16"/>
      <w:szCs w:val="16"/>
    </w:rPr>
  </w:style>
  <w:style w:type="paragraph" w:styleId="Closing">
    <w:name w:val="Closing"/>
    <w:basedOn w:val="Normal"/>
    <w:uiPriority w:val="99"/>
    <w:semiHidden/>
    <w:rsid w:val="00D60081"/>
    <w:pPr>
      <w:ind w:left="4252"/>
    </w:pPr>
  </w:style>
  <w:style w:type="paragraph" w:styleId="Date">
    <w:name w:val="Date"/>
    <w:basedOn w:val="Normal"/>
    <w:next w:val="Normal"/>
    <w:uiPriority w:val="99"/>
    <w:semiHidden/>
    <w:rsid w:val="00D60081"/>
  </w:style>
  <w:style w:type="paragraph" w:styleId="E-mailSignature">
    <w:name w:val="E-mail Signature"/>
    <w:basedOn w:val="Normal"/>
    <w:uiPriority w:val="99"/>
    <w:semiHidden/>
    <w:rsid w:val="00D60081"/>
  </w:style>
  <w:style w:type="paragraph" w:customStyle="1" w:styleId="CS-IBMTableColumnHeader">
    <w:name w:val="CS-IBM Table Column Header"/>
    <w:basedOn w:val="CS-IBMResponseText"/>
    <w:qFormat/>
    <w:rsid w:val="00464519"/>
    <w:pPr>
      <w:spacing w:before="60" w:after="60"/>
      <w:jc w:val="center"/>
    </w:pPr>
    <w:rPr>
      <w:b/>
      <w:color w:val="FFFFFF" w:themeColor="background1"/>
      <w:szCs w:val="18"/>
    </w:rPr>
  </w:style>
  <w:style w:type="paragraph" w:styleId="EnvelopeAddress">
    <w:name w:val="envelope address"/>
    <w:basedOn w:val="Normal"/>
    <w:uiPriority w:val="99"/>
    <w:semiHidden/>
    <w:rsid w:val="00D60081"/>
    <w:pPr>
      <w:framePr w:w="7920" w:h="1980" w:hRule="exact" w:hSpace="180" w:wrap="auto" w:hAnchor="page" w:xAlign="center" w:yAlign="bottom"/>
      <w:ind w:left="2880"/>
    </w:pPr>
    <w:rPr>
      <w:rFonts w:cs="Arial"/>
      <w:sz w:val="24"/>
      <w:szCs w:val="24"/>
    </w:rPr>
  </w:style>
  <w:style w:type="paragraph" w:styleId="EnvelopeReturn">
    <w:name w:val="envelope return"/>
    <w:basedOn w:val="Normal"/>
    <w:uiPriority w:val="99"/>
    <w:semiHidden/>
    <w:rsid w:val="00D60081"/>
    <w:rPr>
      <w:rFonts w:cs="Arial"/>
      <w:sz w:val="20"/>
      <w:szCs w:val="20"/>
    </w:rPr>
  </w:style>
  <w:style w:type="character" w:styleId="FollowedHyperlink">
    <w:name w:val="FollowedHyperlink"/>
    <w:uiPriority w:val="99"/>
    <w:semiHidden/>
    <w:rsid w:val="00D60081"/>
    <w:rPr>
      <w:color w:val="800080"/>
      <w:u w:val="single"/>
    </w:rPr>
  </w:style>
  <w:style w:type="paragraph" w:styleId="Footer">
    <w:name w:val="footer"/>
    <w:basedOn w:val="CS-IBMHeader"/>
    <w:next w:val="Closing"/>
    <w:link w:val="FooterChar"/>
    <w:uiPriority w:val="99"/>
    <w:rsid w:val="00D57F1D"/>
    <w:pPr>
      <w:pBdr>
        <w:top w:val="single" w:sz="4" w:space="5" w:color="auto"/>
        <w:bottom w:val="none" w:sz="0" w:space="0" w:color="auto"/>
      </w:pBdr>
      <w:tabs>
        <w:tab w:val="center" w:pos="4680"/>
        <w:tab w:val="right" w:pos="9360"/>
      </w:tabs>
      <w:spacing w:before="120"/>
      <w:jc w:val="both"/>
    </w:pPr>
    <w:rPr>
      <w:szCs w:val="21"/>
    </w:rPr>
  </w:style>
  <w:style w:type="paragraph" w:styleId="Header">
    <w:name w:val="header"/>
    <w:basedOn w:val="Normal"/>
    <w:uiPriority w:val="99"/>
    <w:rsid w:val="00A56FE9"/>
    <w:pPr>
      <w:pBdr>
        <w:bottom w:val="single" w:sz="4" w:space="2" w:color="auto"/>
      </w:pBdr>
      <w:tabs>
        <w:tab w:val="right" w:pos="9360"/>
      </w:tabs>
      <w:spacing w:before="120" w:after="0"/>
      <w:jc w:val="both"/>
    </w:pPr>
    <w:rPr>
      <w:rFonts w:ascii="IBM Plex Sans" w:hAnsi="IBM Plex Sans" w:cs="Arial"/>
      <w:szCs w:val="21"/>
    </w:rPr>
  </w:style>
  <w:style w:type="character" w:styleId="HTMLAcronym">
    <w:name w:val="HTML Acronym"/>
    <w:basedOn w:val="DefaultParagraphFont"/>
    <w:uiPriority w:val="99"/>
    <w:semiHidden/>
    <w:rsid w:val="00D60081"/>
  </w:style>
  <w:style w:type="paragraph" w:styleId="HTMLAddress">
    <w:name w:val="HTML Address"/>
    <w:basedOn w:val="Normal"/>
    <w:uiPriority w:val="99"/>
    <w:semiHidden/>
    <w:rsid w:val="00D60081"/>
    <w:rPr>
      <w:i/>
      <w:iCs/>
    </w:rPr>
  </w:style>
  <w:style w:type="character" w:styleId="HTMLCite">
    <w:name w:val="HTML Cite"/>
    <w:uiPriority w:val="99"/>
    <w:semiHidden/>
    <w:rsid w:val="00D60081"/>
    <w:rPr>
      <w:i/>
      <w:iCs/>
    </w:rPr>
  </w:style>
  <w:style w:type="character" w:styleId="HTMLCode">
    <w:name w:val="HTML Code"/>
    <w:uiPriority w:val="99"/>
    <w:semiHidden/>
    <w:rsid w:val="00D60081"/>
    <w:rPr>
      <w:rFonts w:ascii="Courier New" w:hAnsi="Courier New" w:cs="Courier New"/>
      <w:sz w:val="20"/>
      <w:szCs w:val="20"/>
    </w:rPr>
  </w:style>
  <w:style w:type="character" w:styleId="HTMLDefinition">
    <w:name w:val="HTML Definition"/>
    <w:uiPriority w:val="99"/>
    <w:semiHidden/>
    <w:rsid w:val="00D60081"/>
    <w:rPr>
      <w:i/>
      <w:iCs/>
    </w:rPr>
  </w:style>
  <w:style w:type="character" w:styleId="HTMLKeyboard">
    <w:name w:val="HTML Keyboard"/>
    <w:uiPriority w:val="99"/>
    <w:semiHidden/>
    <w:rsid w:val="00D60081"/>
    <w:rPr>
      <w:rFonts w:ascii="Courier New" w:hAnsi="Courier New" w:cs="Courier New"/>
      <w:sz w:val="20"/>
      <w:szCs w:val="20"/>
    </w:rPr>
  </w:style>
  <w:style w:type="paragraph" w:styleId="HTMLPreformatted">
    <w:name w:val="HTML Preformatted"/>
    <w:basedOn w:val="Normal"/>
    <w:uiPriority w:val="99"/>
    <w:semiHidden/>
    <w:rsid w:val="00D60081"/>
    <w:rPr>
      <w:rFonts w:ascii="Courier New" w:hAnsi="Courier New" w:cs="Courier New"/>
      <w:sz w:val="20"/>
      <w:szCs w:val="20"/>
    </w:rPr>
  </w:style>
  <w:style w:type="character" w:styleId="HTMLSample">
    <w:name w:val="HTML Sample"/>
    <w:uiPriority w:val="99"/>
    <w:semiHidden/>
    <w:rsid w:val="00D60081"/>
    <w:rPr>
      <w:rFonts w:ascii="Courier New" w:hAnsi="Courier New" w:cs="Courier New"/>
    </w:rPr>
  </w:style>
  <w:style w:type="character" w:styleId="HTMLTypewriter">
    <w:name w:val="HTML Typewriter"/>
    <w:uiPriority w:val="99"/>
    <w:semiHidden/>
    <w:rsid w:val="00D60081"/>
    <w:rPr>
      <w:rFonts w:ascii="Courier New" w:hAnsi="Courier New" w:cs="Courier New"/>
      <w:sz w:val="20"/>
      <w:szCs w:val="20"/>
    </w:rPr>
  </w:style>
  <w:style w:type="character" w:styleId="HTMLVariable">
    <w:name w:val="HTML Variable"/>
    <w:uiPriority w:val="99"/>
    <w:semiHidden/>
    <w:rsid w:val="00D60081"/>
    <w:rPr>
      <w:i/>
      <w:iCs/>
    </w:rPr>
  </w:style>
  <w:style w:type="character" w:styleId="Hyperlink">
    <w:name w:val="Hyperlink"/>
    <w:uiPriority w:val="99"/>
    <w:rsid w:val="001C6D47"/>
    <w:rPr>
      <w:rFonts w:ascii="Century Gothic" w:hAnsi="Century Gothic"/>
      <w:color w:val="000000" w:themeColor="text1"/>
      <w:sz w:val="22"/>
      <w:u w:val="none"/>
    </w:rPr>
  </w:style>
  <w:style w:type="character" w:styleId="LineNumber">
    <w:name w:val="line number"/>
    <w:basedOn w:val="DefaultParagraphFont"/>
    <w:uiPriority w:val="99"/>
    <w:semiHidden/>
    <w:rsid w:val="00D60081"/>
  </w:style>
  <w:style w:type="paragraph" w:styleId="List4">
    <w:name w:val="List 4"/>
    <w:basedOn w:val="Normal"/>
    <w:uiPriority w:val="99"/>
    <w:semiHidden/>
    <w:rsid w:val="00D60081"/>
    <w:pPr>
      <w:ind w:left="1132" w:hanging="283"/>
    </w:pPr>
  </w:style>
  <w:style w:type="paragraph" w:styleId="List5">
    <w:name w:val="List 5"/>
    <w:basedOn w:val="Normal"/>
    <w:uiPriority w:val="99"/>
    <w:semiHidden/>
    <w:rsid w:val="00D60081"/>
    <w:pPr>
      <w:ind w:left="1415" w:hanging="283"/>
    </w:pPr>
  </w:style>
  <w:style w:type="paragraph" w:styleId="ListContinue">
    <w:name w:val="List Continue"/>
    <w:basedOn w:val="Normal"/>
    <w:uiPriority w:val="99"/>
    <w:semiHidden/>
    <w:rsid w:val="00D60081"/>
    <w:pPr>
      <w:ind w:left="283"/>
    </w:pPr>
  </w:style>
  <w:style w:type="paragraph" w:styleId="ListContinue2">
    <w:name w:val="List Continue 2"/>
    <w:basedOn w:val="Normal"/>
    <w:uiPriority w:val="99"/>
    <w:semiHidden/>
    <w:rsid w:val="00D60081"/>
    <w:pPr>
      <w:ind w:left="566"/>
    </w:pPr>
  </w:style>
  <w:style w:type="paragraph" w:styleId="ListContinue3">
    <w:name w:val="List Continue 3"/>
    <w:basedOn w:val="Normal"/>
    <w:uiPriority w:val="99"/>
    <w:semiHidden/>
    <w:rsid w:val="00D60081"/>
    <w:pPr>
      <w:ind w:left="849"/>
    </w:pPr>
  </w:style>
  <w:style w:type="paragraph" w:styleId="ListContinue4">
    <w:name w:val="List Continue 4"/>
    <w:basedOn w:val="Normal"/>
    <w:uiPriority w:val="99"/>
    <w:semiHidden/>
    <w:rsid w:val="00D60081"/>
    <w:pPr>
      <w:ind w:left="1132"/>
    </w:pPr>
  </w:style>
  <w:style w:type="paragraph" w:styleId="ListContinue5">
    <w:name w:val="List Continue 5"/>
    <w:basedOn w:val="Normal"/>
    <w:uiPriority w:val="99"/>
    <w:semiHidden/>
    <w:rsid w:val="00D60081"/>
    <w:pPr>
      <w:ind w:left="1415"/>
    </w:pPr>
  </w:style>
  <w:style w:type="paragraph" w:styleId="MessageHeader">
    <w:name w:val="Message Header"/>
    <w:basedOn w:val="Normal"/>
    <w:uiPriority w:val="99"/>
    <w:semiHidden/>
    <w:rsid w:val="00D60081"/>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NormalWeb">
    <w:name w:val="Normal (Web)"/>
    <w:basedOn w:val="Normal"/>
    <w:uiPriority w:val="99"/>
    <w:semiHidden/>
    <w:rsid w:val="00D60081"/>
    <w:rPr>
      <w:rFonts w:ascii="Times New Roman" w:hAnsi="Times New Roman"/>
      <w:sz w:val="24"/>
      <w:szCs w:val="24"/>
    </w:rPr>
  </w:style>
  <w:style w:type="paragraph" w:styleId="NormalIndent">
    <w:name w:val="Normal Indent"/>
    <w:basedOn w:val="Normal"/>
    <w:uiPriority w:val="99"/>
    <w:semiHidden/>
    <w:rsid w:val="00D60081"/>
    <w:pPr>
      <w:ind w:left="720"/>
    </w:pPr>
  </w:style>
  <w:style w:type="paragraph" w:styleId="NoteHeading">
    <w:name w:val="Note Heading"/>
    <w:basedOn w:val="Normal"/>
    <w:next w:val="Normal"/>
    <w:uiPriority w:val="99"/>
    <w:semiHidden/>
    <w:rsid w:val="00D60081"/>
  </w:style>
  <w:style w:type="character" w:styleId="PageNumber">
    <w:name w:val="page number"/>
    <w:basedOn w:val="DefaultParagraphFont"/>
    <w:uiPriority w:val="99"/>
    <w:semiHidden/>
    <w:rsid w:val="00D60081"/>
  </w:style>
  <w:style w:type="paragraph" w:styleId="PlainText">
    <w:name w:val="Plain Text"/>
    <w:basedOn w:val="Normal"/>
    <w:uiPriority w:val="99"/>
    <w:semiHidden/>
    <w:rsid w:val="00D60081"/>
    <w:rPr>
      <w:rFonts w:ascii="Courier New" w:hAnsi="Courier New" w:cs="Courier New"/>
      <w:sz w:val="20"/>
      <w:szCs w:val="20"/>
    </w:rPr>
  </w:style>
  <w:style w:type="paragraph" w:styleId="Salutation">
    <w:name w:val="Salutation"/>
    <w:basedOn w:val="Normal"/>
    <w:next w:val="Normal"/>
    <w:uiPriority w:val="99"/>
    <w:semiHidden/>
    <w:rsid w:val="00D60081"/>
  </w:style>
  <w:style w:type="paragraph" w:styleId="Signature">
    <w:name w:val="Signature"/>
    <w:basedOn w:val="Normal"/>
    <w:uiPriority w:val="99"/>
    <w:semiHidden/>
    <w:rsid w:val="00D60081"/>
    <w:pPr>
      <w:ind w:left="4252"/>
    </w:pPr>
  </w:style>
  <w:style w:type="table" w:customStyle="1" w:styleId="TableGridLight1">
    <w:name w:val="Table Grid Light1"/>
    <w:basedOn w:val="TableNormal"/>
    <w:uiPriority w:val="40"/>
    <w:rsid w:val="00D16EAC"/>
    <w:tblPr/>
  </w:style>
  <w:style w:type="table" w:styleId="Table3Deffects1">
    <w:name w:val="Table 3D effects 1"/>
    <w:basedOn w:val="TableNormal"/>
    <w:semiHidden/>
    <w:rsid w:val="00D60081"/>
    <w:pPr>
      <w:spacing w:before="240" w:after="60"/>
    </w:pPr>
    <w:tblPr/>
    <w:tcPr>
      <w:tcBorders>
        <w:top w:val="single" w:sz="6" w:space="0" w:color="FFFFFF"/>
        <w:left w:val="single" w:sz="6" w:space="0" w:color="FFFFFF"/>
        <w:bottom w:val="single" w:sz="6" w:space="0" w:color="808080"/>
        <w:right w:val="single" w:sz="6" w:space="0" w:color="808080"/>
      </w:tcBorders>
      <w:shd w:val="solid" w:color="C0C0C0" w:fill="FFFFFF"/>
    </w:tcPr>
    <w:tblStylePr w:type="firstRow">
      <w:rPr>
        <w:b/>
        <w:bCs/>
        <w:color w:val="800080"/>
      </w:rPr>
    </w:tblStylePr>
    <w:tblStylePr w:type="firstCol">
      <w:rPr>
        <w:b/>
        <w:bCs/>
      </w:r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D60081"/>
    <w:pPr>
      <w:spacing w:before="240" w:after="60"/>
    </w:pPr>
    <w:tblPr>
      <w:tblStyleRowBandSize w:val="1"/>
    </w:tblPr>
    <w:tcPr>
      <w:tcBorders>
        <w:bottom w:val="single" w:sz="6" w:space="0" w:color="FFFFFF"/>
        <w:right w:val="single" w:sz="6" w:space="0" w:color="FFFFFF"/>
      </w:tcBorders>
      <w:shd w:val="solid" w:color="C0C0C0" w:fill="FFFFFF"/>
    </w:tcPr>
    <w:tblStylePr w:type="firstRow">
      <w:rPr>
        <w:b/>
        <w:bCs/>
      </w:rPr>
    </w:tblStylePr>
    <w:tblStylePr w:type="swCell">
      <w:rPr>
        <w:b/>
        <w:bCs/>
      </w:rPr>
    </w:tblStylePr>
  </w:style>
  <w:style w:type="table" w:styleId="Table3Deffects3">
    <w:name w:val="Table 3D effects 3"/>
    <w:basedOn w:val="TableNormal"/>
    <w:semiHidden/>
    <w:rsid w:val="00D60081"/>
    <w:pPr>
      <w:spacing w:before="240" w:after="60"/>
    </w:pPr>
    <w:tblPr>
      <w:tblStyleRowBandSize w:val="1"/>
      <w:tblStyleColBandSize w:val="1"/>
    </w:tblPr>
    <w:tcPr>
      <w:tcBorders>
        <w:bottom w:val="single" w:sz="6" w:space="0" w:color="FFFFFF"/>
        <w:right w:val="single" w:sz="6" w:space="0" w:color="FFFFFF"/>
      </w:tcBorders>
      <w:shd w:val="solid" w:color="C0C0C0" w:fill="FFFFFF"/>
    </w:tcPr>
    <w:tblStylePr w:type="firstRow">
      <w:rPr>
        <w:b/>
        <w:bCs/>
      </w:rPr>
      <w:tblPr/>
      <w:tcPr>
        <w:tcBorders>
          <w:tl2br w:val="none" w:sz="0" w:space="0" w:color="auto"/>
          <w:tr2bl w:val="none" w:sz="0" w:space="0" w:color="auto"/>
        </w:tcBorders>
      </w:tcPr>
    </w:tblStylePr>
    <w:tblStylePr w:type="band1Vert">
      <w:rPr>
        <w:color w:val="auto"/>
      </w:rPr>
    </w:tblStylePr>
    <w:tblStylePr w:type="band2Vert">
      <w:rPr>
        <w:color w:val="auto"/>
      </w:r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D60081"/>
    <w:pPr>
      <w:spacing w:before="240" w:after="60"/>
    </w:pPr>
    <w:tblPr/>
    <w:tblStylePr w:type="firstRow">
      <w:rPr>
        <w:i/>
        <w:iCs/>
      </w:rPr>
    </w:tblStylePr>
    <w:tblStylePr w:type="lastRow">
      <w:rPr>
        <w:color w:val="auto"/>
      </w:rPr>
    </w:tblStylePr>
    <w:tblStylePr w:type="neCell">
      <w:rPr>
        <w:b/>
        <w:bCs/>
        <w:i w:val="0"/>
        <w:iCs w:val="0"/>
      </w:rPr>
    </w:tblStylePr>
    <w:tblStylePr w:type="swCell">
      <w:rPr>
        <w:b/>
        <w:bCs/>
      </w:rPr>
    </w:tblStylePr>
  </w:style>
  <w:style w:type="table" w:styleId="TableClassic2">
    <w:name w:val="Table Classic 2"/>
    <w:basedOn w:val="TableNormal"/>
    <w:semiHidden/>
    <w:rsid w:val="00D60081"/>
    <w:pPr>
      <w:spacing w:before="240" w:after="60"/>
    </w:pPr>
    <w:tblPr/>
    <w:tcPr>
      <w:tcBorders>
        <w:bottom w:val="single" w:sz="6" w:space="0" w:color="000000"/>
      </w:tcBorders>
      <w:shd w:val="clear" w:color="auto" w:fill="auto"/>
    </w:tcPr>
    <w:tblStylePr w:type="firstRow">
      <w:rPr>
        <w:color w:val="FFFFFF"/>
      </w:rPr>
    </w:tblStylePr>
    <w:tblStylePr w:type="firstCol">
      <w:rPr>
        <w:b/>
        <w:bCs/>
      </w:rPr>
    </w:tblStylePr>
    <w:tblStylePr w:type="neCell">
      <w:rPr>
        <w:b/>
        <w:bCs/>
      </w:rPr>
    </w:tblStylePr>
    <w:tblStylePr w:type="swCell">
      <w:rPr>
        <w:color w:val="000080"/>
      </w:rPr>
    </w:tblStylePr>
  </w:style>
  <w:style w:type="table" w:styleId="TableClassic3">
    <w:name w:val="Table Classic 3"/>
    <w:basedOn w:val="TableNormal"/>
    <w:semiHidden/>
    <w:rsid w:val="00D60081"/>
    <w:pPr>
      <w:spacing w:before="240" w:after="60"/>
    </w:pPr>
    <w:rPr>
      <w:color w:val="000080"/>
    </w:rPr>
    <w:tblPr/>
    <w:tblStylePr w:type="firstRow">
      <w:rPr>
        <w:b/>
        <w:bCs/>
        <w:i/>
        <w:iCs/>
        <w:color w:val="FFFFFF"/>
      </w:rPr>
    </w:tblStylePr>
    <w:tblStylePr w:type="lastRow">
      <w:rPr>
        <w:color w:val="000080"/>
      </w:rPr>
    </w:tblStylePr>
    <w:tblStylePr w:type="firstCol">
      <w:rPr>
        <w:b/>
        <w:bCs/>
        <w:color w:val="000000"/>
      </w:rPr>
    </w:tblStylePr>
  </w:style>
  <w:style w:type="table" w:styleId="TableClassic4">
    <w:name w:val="Table Classic 4"/>
    <w:basedOn w:val="TableNormal"/>
    <w:semiHidden/>
    <w:rsid w:val="00D60081"/>
    <w:pPr>
      <w:spacing w:before="240" w:after="60"/>
    </w:pPr>
    <w:tbl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styleId="TableColorful1">
    <w:name w:val="Table Colorful 1"/>
    <w:basedOn w:val="TableNormal"/>
    <w:semiHidden/>
    <w:rsid w:val="00D60081"/>
    <w:pPr>
      <w:spacing w:before="240" w:after="60"/>
    </w:pPr>
    <w:rPr>
      <w:color w:val="FFFFFF"/>
    </w:rPr>
    <w:tblPr/>
    <w:tblStylePr w:type="firstRow">
      <w:rPr>
        <w:b/>
        <w:bCs/>
        <w:i/>
        <w:iCs/>
      </w:rPr>
    </w:tblStylePr>
    <w:tblStylePr w:type="firstCol">
      <w:rPr>
        <w:b/>
        <w:bCs/>
        <w:i/>
        <w:iCs/>
      </w:rPr>
    </w:tblStylePr>
    <w:tblStylePr w:type="swCell">
      <w:rPr>
        <w:b/>
        <w:bCs/>
        <w:i w:val="0"/>
        <w:iCs w:val="0"/>
      </w:rPr>
    </w:tblStylePr>
  </w:style>
  <w:style w:type="table" w:styleId="TableColorful2">
    <w:name w:val="Table Colorful 2"/>
    <w:basedOn w:val="TableNormal"/>
    <w:semiHidden/>
    <w:rsid w:val="00D60081"/>
    <w:pPr>
      <w:spacing w:before="240" w:after="60"/>
    </w:pPr>
    <w:tblPr/>
    <w:tblStylePr w:type="firstRow">
      <w:rPr>
        <w:b/>
        <w:bCs/>
        <w:i/>
        <w:iCs/>
        <w:color w:val="FFFFFF"/>
      </w:rPr>
    </w:tblStylePr>
    <w:tblStylePr w:type="firstCol">
      <w:rPr>
        <w:b/>
        <w:bCs/>
        <w:i/>
        <w:iCs/>
      </w:rPr>
    </w:tblStylePr>
    <w:tblStylePr w:type="swCell">
      <w:rPr>
        <w:b/>
        <w:bCs/>
        <w:i w:val="0"/>
        <w:iCs w:val="0"/>
      </w:rPr>
    </w:tblStylePr>
  </w:style>
  <w:style w:type="table" w:styleId="TableColorful3">
    <w:name w:val="Table Colorful 3"/>
    <w:basedOn w:val="TableNormal"/>
    <w:semiHidden/>
    <w:rsid w:val="00D60081"/>
    <w:pPr>
      <w:spacing w:before="240" w:after="60"/>
    </w:pPr>
    <w:tblPr/>
    <w:tblStylePr w:type="nwCell">
      <w:rPr>
        <w:b/>
        <w:bCs/>
        <w:color w:val="FFFFFF"/>
      </w:rPr>
    </w:tblStylePr>
  </w:style>
  <w:style w:type="table" w:styleId="TableColumns1">
    <w:name w:val="Table Columns 1"/>
    <w:basedOn w:val="TableNormal"/>
    <w:semiHidden/>
    <w:rsid w:val="00D60081"/>
    <w:pPr>
      <w:spacing w:before="240" w:after="60"/>
    </w:pPr>
    <w:rPr>
      <w:b/>
      <w:bCs/>
    </w:rPr>
    <w:tblPr>
      <w:tblStyleColBandSize w:val="1"/>
    </w:tblPr>
    <w:tcPr>
      <w:shd w:val="pct25" w:color="000000" w:fill="FFFFFF"/>
    </w:tc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D60081"/>
    <w:pPr>
      <w:spacing w:before="240" w:after="60"/>
    </w:pPr>
    <w:rPr>
      <w:b/>
      <w:bCs/>
    </w:rPr>
    <w:tbl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styleId="TableColumns3">
    <w:name w:val="Table Columns 3"/>
    <w:basedOn w:val="TableNormal"/>
    <w:semiHidden/>
    <w:rsid w:val="00D60081"/>
    <w:pPr>
      <w:spacing w:before="240" w:after="60"/>
    </w:pPr>
    <w:rPr>
      <w:b/>
      <w:bCs/>
    </w:rPr>
    <w:tbl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styleId="TableColumns4">
    <w:name w:val="Table Columns 4"/>
    <w:basedOn w:val="TableNormal"/>
    <w:semiHidden/>
    <w:rsid w:val="00D60081"/>
    <w:pPr>
      <w:spacing w:before="240" w:after="60"/>
    </w:pPr>
    <w:tbl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styleId="TableColumns5">
    <w:name w:val="Table Columns 5"/>
    <w:basedOn w:val="TableNormal"/>
    <w:semiHidden/>
    <w:rsid w:val="00D60081"/>
    <w:pPr>
      <w:spacing w:before="240" w:after="60"/>
    </w:pPr>
    <w:tblPr>
      <w:tblStyleColBandSize w:val="1"/>
    </w:tblPr>
    <w:tcPr>
      <w:tcBorders>
        <w:top w:val="single" w:sz="6" w:space="0" w:color="808080"/>
        <w:bottom w:val="single" w:sz="6" w:space="0" w:color="808080"/>
      </w:tcBorders>
      <w:shd w:val="solid" w:color="C0C0C0" w:fill="FFFFFF"/>
    </w:tc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styleId="TableContemporary">
    <w:name w:val="Table Contemporary"/>
    <w:basedOn w:val="TableNormal"/>
    <w:semiHidden/>
    <w:rsid w:val="00D60081"/>
    <w:pPr>
      <w:spacing w:before="240" w:after="60"/>
    </w:pPr>
    <w:tblPr/>
    <w:tblStylePr w:type="firstRow">
      <w:rPr>
        <w:b/>
        <w:bCs/>
        <w:color w:val="auto"/>
      </w:rPr>
    </w:tblStylePr>
    <w:tblStylePr w:type="band1Horz">
      <w:rPr>
        <w:color w:val="auto"/>
      </w:rPr>
    </w:tblStylePr>
    <w:tblStylePr w:type="band2Horz">
      <w:rPr>
        <w:color w:val="auto"/>
      </w:rPr>
    </w:tblStylePr>
  </w:style>
  <w:style w:type="table" w:styleId="TableElegant">
    <w:name w:val="Table Elegant"/>
    <w:basedOn w:val="TableNormal"/>
    <w:semiHidden/>
    <w:rsid w:val="00D60081"/>
    <w:pPr>
      <w:spacing w:before="240" w:after="60"/>
    </w:pPr>
    <w:tblPr/>
    <w:tblStylePr w:type="firstRow">
      <w:rPr>
        <w:caps/>
        <w:color w:val="auto"/>
      </w:rPr>
    </w:tblStylePr>
  </w:style>
  <w:style w:type="table" w:styleId="TableGrid">
    <w:name w:val="Table Grid"/>
    <w:basedOn w:val="TableNormal"/>
    <w:rsid w:val="00CE62DF"/>
    <w:pPr>
      <w:spacing w:before="60" w:after="60"/>
    </w:pPr>
    <w:rPr>
      <w:rFonts w:ascii="Arial" w:hAnsi="Arial"/>
      <w:sz w:val="18"/>
      <w:szCs w:val="19"/>
    </w:rPr>
    <w:tblPr/>
    <w:tblStylePr w:type="firstRow">
      <w:rPr>
        <w:rFonts w:ascii="Arial" w:hAnsi="Arial"/>
        <w:b w:val="0"/>
        <w:i w:val="0"/>
        <w:sz w:val="18"/>
        <w:szCs w:val="19"/>
      </w:rPr>
    </w:tblStylePr>
    <w:tblStylePr w:type="lastRow">
      <w:rPr>
        <w:rFonts w:ascii="Arial" w:hAnsi="Arial"/>
        <w:sz w:val="18"/>
      </w:rPr>
    </w:tblStylePr>
  </w:style>
  <w:style w:type="table" w:styleId="TableGrid1">
    <w:name w:val="Table Grid 1"/>
    <w:basedOn w:val="TableNormal"/>
    <w:semiHidden/>
    <w:rsid w:val="00D60081"/>
    <w:pPr>
      <w:spacing w:before="240" w:after="60"/>
    </w:pPr>
    <w:tblPr/>
    <w:tblStylePr w:type="lastRow">
      <w:rPr>
        <w:i/>
        <w:iCs/>
      </w:rPr>
    </w:tblStylePr>
    <w:tblStylePr w:type="lastCol">
      <w:rPr>
        <w:i/>
        <w:iCs/>
      </w:rPr>
    </w:tblStylePr>
  </w:style>
  <w:style w:type="table" w:styleId="TableGrid2">
    <w:name w:val="Table Grid 2"/>
    <w:basedOn w:val="TableNormal"/>
    <w:semiHidden/>
    <w:rsid w:val="00D60081"/>
    <w:pPr>
      <w:spacing w:before="240" w:after="60"/>
    </w:pPr>
    <w:tblPr/>
    <w:tblStylePr w:type="firstRow">
      <w:rPr>
        <w:b/>
        <w:bCs/>
      </w:rPr>
    </w:tblStylePr>
    <w:tblStylePr w:type="lastRow">
      <w:rPr>
        <w:b/>
        <w:bCs/>
      </w:rPr>
    </w:tblStylePr>
    <w:tblStylePr w:type="firstCol">
      <w:rPr>
        <w:b/>
        <w:bCs/>
      </w:rPr>
    </w:tblStylePr>
    <w:tblStylePr w:type="lastCol">
      <w:rPr>
        <w:b/>
        <w:bCs/>
      </w:rPr>
    </w:tblStylePr>
  </w:style>
  <w:style w:type="table" w:styleId="TableGrid3">
    <w:name w:val="Table Grid 3"/>
    <w:basedOn w:val="TableNormal"/>
    <w:semiHidden/>
    <w:rsid w:val="00D60081"/>
    <w:pPr>
      <w:spacing w:before="240" w:after="60"/>
    </w:pPr>
    <w:tblPr/>
    <w:tblStylePr w:type="lastRow">
      <w:rPr>
        <w:b/>
        <w:bCs/>
      </w:rPr>
    </w:tblStylePr>
    <w:tblStylePr w:type="lastCol">
      <w:rPr>
        <w:b/>
        <w:bCs/>
      </w:rPr>
    </w:tblStylePr>
  </w:style>
  <w:style w:type="table" w:styleId="TableGrid4">
    <w:name w:val="Table Grid 4"/>
    <w:basedOn w:val="TableNormal"/>
    <w:semiHidden/>
    <w:rsid w:val="00D60081"/>
    <w:pPr>
      <w:spacing w:before="240" w:after="60"/>
    </w:pPr>
    <w:tblPr/>
    <w:tblStylePr w:type="firstRow">
      <w:rPr>
        <w:color w:val="auto"/>
      </w:rPr>
    </w:tblStylePr>
    <w:tblStylePr w:type="lastRow">
      <w:rPr>
        <w:b/>
        <w:bCs/>
        <w:color w:val="auto"/>
      </w:rPr>
    </w:tblStylePr>
    <w:tblStylePr w:type="lastCol">
      <w:rPr>
        <w:b/>
        <w:bCs/>
        <w:color w:val="auto"/>
      </w:rPr>
    </w:tblStylePr>
  </w:style>
  <w:style w:type="table" w:styleId="TableGrid5">
    <w:name w:val="Table Grid 5"/>
    <w:basedOn w:val="TableNormal"/>
    <w:semiHidden/>
    <w:rsid w:val="00D60081"/>
    <w:pPr>
      <w:spacing w:before="240" w:after="60"/>
    </w:pPr>
    <w:tblPr/>
    <w:tblStylePr w:type="lastRow">
      <w:rPr>
        <w:b/>
        <w:bCs/>
      </w:rPr>
    </w:tblStylePr>
    <w:tblStylePr w:type="lastCol">
      <w:rPr>
        <w:b/>
        <w:bCs/>
      </w:rPr>
    </w:tblStylePr>
  </w:style>
  <w:style w:type="table" w:styleId="TableGrid6">
    <w:name w:val="Table Grid 6"/>
    <w:basedOn w:val="TableNormal"/>
    <w:semiHidden/>
    <w:rsid w:val="00D60081"/>
    <w:pPr>
      <w:spacing w:before="240" w:after="60"/>
    </w:pPr>
    <w:tblPr/>
    <w:tcPr>
      <w:tcBorders>
        <w:top w:val="single" w:sz="6" w:space="0" w:color="000000"/>
        <w:bottom w:val="single" w:sz="6" w:space="0" w:color="000000"/>
      </w:tcBorders>
      <w:shd w:val="clear" w:color="auto" w:fill="auto"/>
    </w:tcPr>
    <w:tblStylePr w:type="firstRow">
      <w:rPr>
        <w:b/>
        <w:bCs/>
      </w:rPr>
    </w:tblStylePr>
    <w:tblStylePr w:type="lastRow">
      <w:rPr>
        <w:color w:val="auto"/>
      </w:rPr>
    </w:tblStylePr>
    <w:tblStylePr w:type="firstCol">
      <w:rPr>
        <w:b/>
        <w:bCs/>
      </w:r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D60081"/>
    <w:pPr>
      <w:spacing w:before="240" w:after="60"/>
    </w:pPr>
    <w:rPr>
      <w:b/>
      <w:bCs/>
    </w:rPr>
    <w:tblPr/>
    <w:tcPr>
      <w:tcBorders>
        <w:top w:val="single" w:sz="6" w:space="0" w:color="000000"/>
        <w:bottom w:val="single" w:sz="12" w:space="0" w:color="000000"/>
      </w:tcBorders>
      <w:shd w:val="clear" w:color="auto" w:fill="auto"/>
    </w:tc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D60081"/>
    <w:pPr>
      <w:spacing w:before="240" w:after="60"/>
    </w:pPr>
    <w:tblPr/>
    <w:tblStylePr w:type="firstRow">
      <w:rPr>
        <w:b/>
        <w:bCs/>
        <w:color w:val="FFFFFF"/>
      </w:rPr>
    </w:tblStylePr>
    <w:tblStylePr w:type="lastRow">
      <w:rPr>
        <w:b/>
        <w:bCs/>
        <w:color w:val="auto"/>
      </w:rPr>
    </w:tblStylePr>
    <w:tblStylePr w:type="lastCol">
      <w:rPr>
        <w:b/>
        <w:bCs/>
        <w:color w:val="auto"/>
      </w:rPr>
    </w:tblStylePr>
  </w:style>
  <w:style w:type="table" w:styleId="TableList1">
    <w:name w:val="Table List 1"/>
    <w:basedOn w:val="TableNormal"/>
    <w:semiHidden/>
    <w:rsid w:val="00D60081"/>
    <w:pPr>
      <w:spacing w:before="240" w:after="60"/>
    </w:pPr>
    <w:tbl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styleId="TableList2">
    <w:name w:val="Table List 2"/>
    <w:basedOn w:val="TableNormal"/>
    <w:semiHidden/>
    <w:rsid w:val="00D60081"/>
    <w:pPr>
      <w:spacing w:before="240" w:after="60"/>
    </w:pPr>
    <w:tbl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styleId="TableList3">
    <w:name w:val="Table List 3"/>
    <w:basedOn w:val="TableNormal"/>
    <w:semiHidden/>
    <w:rsid w:val="00D60081"/>
    <w:pPr>
      <w:spacing w:before="240" w:after="60"/>
    </w:pPr>
    <w:tblPr/>
    <w:tcPr>
      <w:tcBorders>
        <w:top w:val="single" w:sz="12" w:space="0" w:color="000000"/>
        <w:bottom w:val="single" w:sz="12" w:space="0" w:color="000000"/>
      </w:tcBorders>
      <w:shd w:val="clear" w:color="auto" w:fill="auto"/>
    </w:tcPr>
    <w:tblStylePr w:type="firstRow">
      <w:rPr>
        <w:b/>
        <w:bCs/>
        <w:color w:val="000080"/>
      </w:rPr>
    </w:tblStylePr>
    <w:tblStylePr w:type="swCell">
      <w:rPr>
        <w:i/>
        <w:iCs/>
        <w:color w:val="000080"/>
      </w:rPr>
    </w:tblStylePr>
  </w:style>
  <w:style w:type="table" w:styleId="TableList4">
    <w:name w:val="Table List 4"/>
    <w:basedOn w:val="TableNormal"/>
    <w:semiHidden/>
    <w:rsid w:val="00D60081"/>
    <w:pPr>
      <w:spacing w:before="240" w:after="60"/>
    </w:pPr>
    <w:tblPr/>
    <w:tblStylePr w:type="firstRow">
      <w:rPr>
        <w:b/>
        <w:bCs/>
        <w:color w:val="FFFFFF"/>
      </w:rPr>
    </w:tblStylePr>
  </w:style>
  <w:style w:type="table" w:styleId="TableList5">
    <w:name w:val="Table List 5"/>
    <w:basedOn w:val="TableNormal"/>
    <w:semiHidden/>
    <w:rsid w:val="00D60081"/>
    <w:pPr>
      <w:spacing w:before="240" w:after="60"/>
    </w:pPr>
    <w:tblPr/>
    <w:tblStylePr w:type="firstRow">
      <w:rPr>
        <w:b/>
        <w:bCs/>
      </w:rPr>
    </w:tblStylePr>
    <w:tblStylePr w:type="firstCol">
      <w:rPr>
        <w:b/>
        <w:bCs/>
      </w:rPr>
    </w:tblStylePr>
  </w:style>
  <w:style w:type="table" w:styleId="TableList6">
    <w:name w:val="Table List 6"/>
    <w:basedOn w:val="TableNormal"/>
    <w:semiHidden/>
    <w:rsid w:val="00D60081"/>
    <w:pPr>
      <w:spacing w:before="240" w:after="60"/>
    </w:pPr>
    <w:tblPr/>
    <w:tblStylePr w:type="firstRow">
      <w:rPr>
        <w:b/>
        <w:bCs/>
      </w:rPr>
    </w:tblStylePr>
    <w:tblStylePr w:type="firstCol">
      <w:rPr>
        <w:b/>
        <w:bCs/>
      </w:rPr>
    </w:tblStylePr>
  </w:style>
  <w:style w:type="table" w:styleId="TableList7">
    <w:name w:val="Table List 7"/>
    <w:basedOn w:val="TableNormal"/>
    <w:semiHidden/>
    <w:rsid w:val="00D60081"/>
    <w:pPr>
      <w:spacing w:before="240" w:after="60"/>
    </w:pPr>
    <w:tbl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styleId="TableList8">
    <w:name w:val="Table List 8"/>
    <w:basedOn w:val="TableNormal"/>
    <w:semiHidden/>
    <w:rsid w:val="00D60081"/>
    <w:pPr>
      <w:spacing w:before="240" w:after="60"/>
    </w:pPr>
    <w:tblPr>
      <w:tblStyleRowBandSize w:val="1"/>
    </w:tbl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styleId="TableProfessional">
    <w:name w:val="Table Professional"/>
    <w:basedOn w:val="TableNormal"/>
    <w:semiHidden/>
    <w:rsid w:val="00D60081"/>
    <w:pPr>
      <w:spacing w:before="240" w:after="60"/>
    </w:pPr>
    <w:tblPr/>
    <w:tblStylePr w:type="firstRow">
      <w:rPr>
        <w:b/>
        <w:bCs/>
        <w:color w:val="auto"/>
      </w:rPr>
    </w:tblStylePr>
  </w:style>
  <w:style w:type="table" w:styleId="TableSimple1">
    <w:name w:val="Table Simple 1"/>
    <w:basedOn w:val="TableNormal"/>
    <w:semiHidden/>
    <w:rsid w:val="00D60081"/>
    <w:pPr>
      <w:spacing w:before="240" w:after="60"/>
    </w:pPr>
    <w:tblPr/>
  </w:style>
  <w:style w:type="table" w:styleId="TableSimple2">
    <w:name w:val="Table Simple 2"/>
    <w:basedOn w:val="TableNormal"/>
    <w:semiHidden/>
    <w:rsid w:val="00D60081"/>
    <w:pPr>
      <w:spacing w:before="240" w:after="60"/>
    </w:pPr>
    <w:tbl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styleId="TableSimple3">
    <w:name w:val="Table Simple 3"/>
    <w:basedOn w:val="TableNormal"/>
    <w:semiHidden/>
    <w:rsid w:val="00D60081"/>
    <w:pPr>
      <w:spacing w:before="240" w:after="60"/>
    </w:pPr>
    <w:tblPr/>
    <w:tblStylePr w:type="firstRow">
      <w:rPr>
        <w:b/>
        <w:bCs/>
        <w:color w:val="FFFFFF"/>
      </w:rPr>
    </w:tblStylePr>
  </w:style>
  <w:style w:type="table" w:styleId="TableSubtle1">
    <w:name w:val="Table Subtle 1"/>
    <w:basedOn w:val="TableNormal"/>
    <w:semiHidden/>
    <w:rsid w:val="00D60081"/>
    <w:pPr>
      <w:spacing w:before="240" w:after="60"/>
    </w:pPr>
    <w:tblPr/>
    <w:tblStylePr w:type="neCell">
      <w:rPr>
        <w:b/>
        <w:bCs/>
      </w:rPr>
    </w:tblStylePr>
    <w:tblStylePr w:type="swCell">
      <w:rPr>
        <w:b/>
        <w:bCs/>
      </w:rPr>
    </w:tblStylePr>
  </w:style>
  <w:style w:type="table" w:styleId="TableSubtle2">
    <w:name w:val="Table Subtle 2"/>
    <w:basedOn w:val="TableNormal"/>
    <w:semiHidden/>
    <w:rsid w:val="00D60081"/>
    <w:pPr>
      <w:spacing w:before="240" w:after="60"/>
    </w:pPr>
    <w:tblPr/>
    <w:tblStylePr w:type="neCell">
      <w:rPr>
        <w:b/>
        <w:bCs/>
      </w:rPr>
    </w:tblStylePr>
    <w:tblStylePr w:type="swCell">
      <w:rPr>
        <w:b/>
        <w:bCs/>
      </w:rPr>
    </w:tblStylePr>
  </w:style>
  <w:style w:type="table" w:styleId="TableTheme">
    <w:name w:val="Table Theme"/>
    <w:basedOn w:val="TableNormal"/>
    <w:semiHidden/>
    <w:rsid w:val="00D60081"/>
    <w:pPr>
      <w:spacing w:before="240" w:after="60"/>
    </w:pPr>
    <w:tblPr/>
  </w:style>
  <w:style w:type="table" w:styleId="TableWeb1">
    <w:name w:val="Table Web 1"/>
    <w:basedOn w:val="TableNormal"/>
    <w:semiHidden/>
    <w:rsid w:val="00D60081"/>
    <w:pPr>
      <w:spacing w:before="240" w:after="60"/>
    </w:pPr>
    <w:tblPr/>
    <w:tblStylePr w:type="firstRow">
      <w:rPr>
        <w:color w:val="auto"/>
      </w:rPr>
    </w:tblStylePr>
  </w:style>
  <w:style w:type="table" w:styleId="TableWeb2">
    <w:name w:val="Table Web 2"/>
    <w:basedOn w:val="TableNormal"/>
    <w:semiHidden/>
    <w:rsid w:val="00D60081"/>
    <w:pPr>
      <w:spacing w:before="240" w:after="60"/>
    </w:pPr>
    <w:tblPr/>
    <w:tblStylePr w:type="firstRow">
      <w:rPr>
        <w:color w:val="auto"/>
      </w:rPr>
    </w:tblStylePr>
  </w:style>
  <w:style w:type="table" w:styleId="TableWeb3">
    <w:name w:val="Table Web 3"/>
    <w:basedOn w:val="TableNormal"/>
    <w:semiHidden/>
    <w:rsid w:val="00D60081"/>
    <w:pPr>
      <w:spacing w:before="240" w:after="60"/>
    </w:pPr>
    <w:tblPr/>
    <w:tblStylePr w:type="firstRow">
      <w:rPr>
        <w:color w:val="auto"/>
      </w:rPr>
    </w:tblStylePr>
  </w:style>
  <w:style w:type="paragraph" w:styleId="List2">
    <w:name w:val="List 2"/>
    <w:basedOn w:val="Normal"/>
    <w:uiPriority w:val="99"/>
    <w:semiHidden/>
    <w:rsid w:val="00D60081"/>
    <w:pPr>
      <w:ind w:left="566" w:hanging="283"/>
    </w:pPr>
  </w:style>
  <w:style w:type="paragraph" w:styleId="List">
    <w:name w:val="List"/>
    <w:basedOn w:val="Normal"/>
    <w:uiPriority w:val="99"/>
    <w:semiHidden/>
    <w:rsid w:val="00D60081"/>
    <w:pPr>
      <w:ind w:left="283" w:hanging="283"/>
    </w:pPr>
  </w:style>
  <w:style w:type="paragraph" w:styleId="List3">
    <w:name w:val="List 3"/>
    <w:uiPriority w:val="99"/>
    <w:semiHidden/>
    <w:rsid w:val="002C48F8"/>
    <w:pPr>
      <w:numPr>
        <w:numId w:val="7"/>
      </w:numPr>
    </w:pPr>
    <w:rPr>
      <w:rFonts w:ascii="Arial" w:hAnsi="Arial"/>
      <w:sz w:val="21"/>
      <w:szCs w:val="21"/>
      <w:lang w:eastAsia="en-GB"/>
    </w:rPr>
  </w:style>
  <w:style w:type="paragraph" w:customStyle="1" w:styleId="CS-IBMHeader">
    <w:name w:val="CS-IBM Header"/>
    <w:qFormat/>
    <w:rsid w:val="003E58D5"/>
    <w:pPr>
      <w:pBdr>
        <w:bottom w:val="single" w:sz="12" w:space="4" w:color="808080" w:themeColor="background1" w:themeShade="80"/>
      </w:pBdr>
      <w:spacing w:after="120"/>
    </w:pPr>
    <w:rPr>
      <w:rFonts w:ascii="Century Gothic" w:hAnsi="Century Gothic" w:cs="Arial"/>
      <w:noProof/>
      <w:color w:val="0E3152"/>
      <w:sz w:val="18"/>
      <w:szCs w:val="16"/>
      <w:lang w:eastAsia="en-GB"/>
    </w:rPr>
  </w:style>
  <w:style w:type="table" w:customStyle="1" w:styleId="BasicTable">
    <w:name w:val="Basic Table"/>
    <w:basedOn w:val="TableNormal"/>
    <w:rsid w:val="00CE62DF"/>
    <w:pPr>
      <w:widowControl w:val="0"/>
      <w:adjustRightInd w:val="0"/>
      <w:spacing w:before="120" w:after="120"/>
      <w:textAlignment w:val="baseline"/>
    </w:pPr>
    <w:rPr>
      <w:rFonts w:ascii="Arial" w:eastAsia="MS Mincho" w:hAnsi="Arial"/>
      <w:sz w:val="18"/>
    </w:rPr>
    <w:tblPr/>
    <w:tblStylePr w:type="firstRow">
      <w:rPr>
        <w:rFonts w:ascii="Arial Bold" w:hAnsi="Arial Bold"/>
        <w:b/>
        <w:bCs/>
        <w:i w:val="0"/>
        <w:color w:val="333333"/>
        <w:sz w:val="20"/>
      </w:rPr>
    </w:tblStylePr>
    <w:tblStylePr w:type="lastRow">
      <w:rPr>
        <w:rFonts w:ascii="Arial Bold" w:hAnsi="Arial Bold"/>
        <w:b/>
        <w:i w:val="0"/>
        <w:color w:val="auto"/>
        <w:sz w:val="20"/>
      </w:rPr>
    </w:tblStylePr>
    <w:tblStylePr w:type="swCell">
      <w:rPr>
        <w:rFonts w:ascii="Arial Bold" w:hAnsi="Arial Bold"/>
        <w:b/>
        <w:i/>
        <w:iCs/>
        <w:color w:val="auto"/>
        <w:sz w:val="20"/>
      </w:rPr>
    </w:tblStylePr>
  </w:style>
  <w:style w:type="character" w:styleId="Strong">
    <w:name w:val="Strong"/>
    <w:uiPriority w:val="99"/>
    <w:semiHidden/>
    <w:locked/>
    <w:rsid w:val="00197132"/>
    <w:rPr>
      <w:b/>
      <w:bCs/>
    </w:rPr>
  </w:style>
  <w:style w:type="paragraph" w:styleId="TableofFigures">
    <w:name w:val="table of figures"/>
    <w:basedOn w:val="CS-IBMResponseText"/>
    <w:next w:val="CS-IBMResponseText"/>
    <w:uiPriority w:val="99"/>
    <w:rsid w:val="00B03463"/>
    <w:pPr>
      <w:spacing w:before="180" w:after="60"/>
    </w:pPr>
  </w:style>
  <w:style w:type="paragraph" w:customStyle="1" w:styleId="CS-IBMTOCforTOCTitleonly">
    <w:name w:val="CS-IBM TOC (for TOC Title only)"/>
    <w:qFormat/>
    <w:rsid w:val="00A753DD"/>
    <w:pPr>
      <w:jc w:val="center"/>
    </w:pPr>
    <w:rPr>
      <w:rFonts w:ascii="Arial" w:hAnsi="Arial" w:cs="Arial"/>
      <w:color w:val="0070C0"/>
      <w:sz w:val="44"/>
      <w:szCs w:val="44"/>
      <w:lang w:eastAsia="en-GB"/>
    </w:rPr>
  </w:style>
  <w:style w:type="paragraph" w:styleId="TOC1">
    <w:name w:val="toc 1"/>
    <w:basedOn w:val="CS-IBMResponseText"/>
    <w:next w:val="CS-IBMResponseText"/>
    <w:uiPriority w:val="39"/>
    <w:qFormat/>
    <w:rsid w:val="001B3A39"/>
    <w:pPr>
      <w:tabs>
        <w:tab w:val="left" w:pos="360"/>
        <w:tab w:val="right" w:leader="dot" w:pos="9361"/>
      </w:tabs>
      <w:ind w:left="360" w:hanging="360"/>
      <w:jc w:val="both"/>
    </w:pPr>
    <w:rPr>
      <w:b/>
      <w:noProof/>
      <w:color w:val="106288"/>
    </w:rPr>
  </w:style>
  <w:style w:type="paragraph" w:styleId="TOC2">
    <w:name w:val="toc 2"/>
    <w:basedOn w:val="TOC1"/>
    <w:uiPriority w:val="39"/>
    <w:qFormat/>
    <w:rsid w:val="004B5B02"/>
    <w:pPr>
      <w:spacing w:before="0" w:after="0"/>
      <w:ind w:left="1077" w:hanging="720"/>
    </w:pPr>
    <w:rPr>
      <w:b w:val="0"/>
      <w:color w:val="auto"/>
    </w:rPr>
  </w:style>
  <w:style w:type="paragraph" w:styleId="TOC3">
    <w:name w:val="toc 3"/>
    <w:basedOn w:val="TOC2"/>
    <w:uiPriority w:val="39"/>
    <w:qFormat/>
    <w:rsid w:val="001B3A39"/>
    <w:pPr>
      <w:tabs>
        <w:tab w:val="left" w:leader="dot" w:pos="1800"/>
      </w:tabs>
      <w:ind w:left="1800"/>
    </w:pPr>
    <w:rPr>
      <w:lang w:val="en-GB"/>
    </w:rPr>
  </w:style>
  <w:style w:type="paragraph" w:styleId="TOC4">
    <w:name w:val="toc 4"/>
    <w:basedOn w:val="TOC3"/>
    <w:uiPriority w:val="39"/>
    <w:rsid w:val="004B5B02"/>
    <w:pPr>
      <w:ind w:left="1792" w:hanging="357"/>
    </w:pPr>
  </w:style>
  <w:style w:type="paragraph" w:styleId="TOC5">
    <w:name w:val="toc 5"/>
    <w:basedOn w:val="TOC3"/>
    <w:next w:val="Normal"/>
    <w:uiPriority w:val="99"/>
    <w:semiHidden/>
    <w:rsid w:val="00D60081"/>
  </w:style>
  <w:style w:type="paragraph" w:styleId="TOC6">
    <w:name w:val="toc 6"/>
    <w:basedOn w:val="TOC5"/>
    <w:next w:val="Normal"/>
    <w:uiPriority w:val="99"/>
    <w:semiHidden/>
    <w:rsid w:val="00D60081"/>
  </w:style>
  <w:style w:type="paragraph" w:styleId="TOC7">
    <w:name w:val="toc 7"/>
    <w:basedOn w:val="TOC5"/>
    <w:next w:val="Normal"/>
    <w:uiPriority w:val="99"/>
    <w:semiHidden/>
    <w:rsid w:val="00D60081"/>
  </w:style>
  <w:style w:type="paragraph" w:styleId="TOC8">
    <w:name w:val="toc 8"/>
    <w:basedOn w:val="TOC5"/>
    <w:next w:val="Normal"/>
    <w:uiPriority w:val="99"/>
    <w:semiHidden/>
    <w:rsid w:val="00D60081"/>
  </w:style>
  <w:style w:type="paragraph" w:styleId="TOC9">
    <w:name w:val="toc 9"/>
    <w:basedOn w:val="TOC5"/>
    <w:next w:val="Normal"/>
    <w:uiPriority w:val="99"/>
    <w:semiHidden/>
    <w:rsid w:val="00D60081"/>
  </w:style>
  <w:style w:type="character" w:styleId="EndnoteReference">
    <w:name w:val="endnote reference"/>
    <w:uiPriority w:val="99"/>
    <w:semiHidden/>
    <w:rsid w:val="00D60081"/>
    <w:rPr>
      <w:rFonts w:ascii="Arial Bold" w:hAnsi="Arial Bold"/>
      <w:b/>
      <w:sz w:val="18"/>
      <w:szCs w:val="18"/>
      <w:vertAlign w:val="superscript"/>
    </w:rPr>
  </w:style>
  <w:style w:type="paragraph" w:styleId="EndnoteText">
    <w:name w:val="endnote text"/>
    <w:basedOn w:val="Normal"/>
    <w:uiPriority w:val="99"/>
    <w:rsid w:val="00E318B7"/>
    <w:pPr>
      <w:spacing w:before="240"/>
    </w:pPr>
    <w:rPr>
      <w:i/>
      <w:sz w:val="16"/>
      <w:szCs w:val="16"/>
    </w:rPr>
  </w:style>
  <w:style w:type="character" w:styleId="FootnoteReference">
    <w:name w:val="footnote reference"/>
    <w:uiPriority w:val="99"/>
    <w:semiHidden/>
    <w:rsid w:val="00D60081"/>
    <w:rPr>
      <w:rFonts w:ascii="Arial Bold" w:hAnsi="Arial Bold"/>
      <w:b/>
      <w:sz w:val="18"/>
      <w:szCs w:val="18"/>
      <w:vertAlign w:val="superscript"/>
    </w:rPr>
  </w:style>
  <w:style w:type="paragraph" w:styleId="FootnoteText">
    <w:name w:val="footnote text"/>
    <w:basedOn w:val="Normal"/>
    <w:uiPriority w:val="99"/>
    <w:rsid w:val="00E318B7"/>
    <w:pPr>
      <w:spacing w:before="240"/>
    </w:pPr>
    <w:rPr>
      <w:i/>
      <w:sz w:val="16"/>
      <w:szCs w:val="16"/>
    </w:rPr>
  </w:style>
  <w:style w:type="paragraph" w:styleId="MacroText">
    <w:name w:val="macro"/>
    <w:link w:val="MacroTextChar"/>
    <w:uiPriority w:val="99"/>
    <w:semiHidden/>
    <w:unhideWhenUsed/>
    <w:rsid w:val="00BF0F53"/>
    <w:pPr>
      <w:tabs>
        <w:tab w:val="left" w:pos="480"/>
        <w:tab w:val="left" w:pos="960"/>
        <w:tab w:val="left" w:pos="1440"/>
        <w:tab w:val="left" w:pos="1920"/>
        <w:tab w:val="left" w:pos="2400"/>
        <w:tab w:val="left" w:pos="2880"/>
        <w:tab w:val="left" w:pos="3360"/>
        <w:tab w:val="left" w:pos="3840"/>
        <w:tab w:val="left" w:pos="4320"/>
      </w:tabs>
      <w:spacing w:before="120" w:after="120"/>
    </w:pPr>
    <w:rPr>
      <w:rFonts w:ascii="Courier New" w:hAnsi="Courier New" w:cs="Courier New"/>
      <w:lang w:eastAsia="en-GB"/>
    </w:rPr>
  </w:style>
  <w:style w:type="character" w:customStyle="1" w:styleId="MacroTextChar">
    <w:name w:val="Macro Text Char"/>
    <w:link w:val="MacroText"/>
    <w:uiPriority w:val="99"/>
    <w:semiHidden/>
    <w:rsid w:val="000E0AF2"/>
    <w:rPr>
      <w:rFonts w:ascii="Courier New" w:hAnsi="Courier New" w:cs="Courier New"/>
      <w:lang w:eastAsia="en-GB"/>
    </w:rPr>
  </w:style>
  <w:style w:type="paragraph" w:customStyle="1" w:styleId="CS-RFPBodyText">
    <w:name w:val="CS-RFP Body Text"/>
    <w:basedOn w:val="CS-IBMResponseText"/>
    <w:link w:val="CS-RFPBodyTextChar"/>
    <w:qFormat/>
    <w:rsid w:val="00464519"/>
    <w:rPr>
      <w:color w:val="0070C0"/>
    </w:rPr>
  </w:style>
  <w:style w:type="paragraph" w:customStyle="1" w:styleId="CS-RFPBullet1">
    <w:name w:val="CS-RFP Bullet 1"/>
    <w:basedOn w:val="CS-IBMBullet1"/>
    <w:link w:val="CS-RFPBullet1Char"/>
    <w:qFormat/>
    <w:rsid w:val="00464519"/>
    <w:pPr>
      <w:numPr>
        <w:numId w:val="9"/>
      </w:numPr>
    </w:pPr>
    <w:rPr>
      <w:color w:val="0070C0"/>
    </w:rPr>
  </w:style>
  <w:style w:type="paragraph" w:customStyle="1" w:styleId="CS-RFPBullet2">
    <w:name w:val="CS-RFP Bullet 2"/>
    <w:basedOn w:val="CS-RFPBullet1"/>
    <w:link w:val="CS-RFPBullet2Char"/>
    <w:qFormat/>
    <w:rsid w:val="00464519"/>
    <w:pPr>
      <w:numPr>
        <w:numId w:val="12"/>
      </w:numPr>
      <w:ind w:left="714" w:hanging="357"/>
    </w:pPr>
  </w:style>
  <w:style w:type="paragraph" w:customStyle="1" w:styleId="CS-RFPBullet3">
    <w:name w:val="CS-RFP Bullet 3"/>
    <w:basedOn w:val="CS-RFPBullet2"/>
    <w:link w:val="CS-RFPBullet3Char"/>
    <w:qFormat/>
    <w:rsid w:val="00B03463"/>
    <w:pPr>
      <w:numPr>
        <w:numId w:val="11"/>
      </w:numPr>
    </w:pPr>
  </w:style>
  <w:style w:type="paragraph" w:customStyle="1" w:styleId="CS-RFPBullet4">
    <w:name w:val="CS-RFP Bullet 4"/>
    <w:basedOn w:val="CS-RFPBullet3"/>
    <w:link w:val="CS-RFPBullet4Char"/>
    <w:qFormat/>
    <w:rsid w:val="00B03463"/>
    <w:pPr>
      <w:numPr>
        <w:numId w:val="13"/>
      </w:numPr>
    </w:pPr>
  </w:style>
  <w:style w:type="paragraph" w:customStyle="1" w:styleId="CS-RFPBullet5">
    <w:name w:val="CS-RFP Bullet 5"/>
    <w:basedOn w:val="CS-RFPBullet4"/>
    <w:link w:val="CS-RFPBullet5Char"/>
    <w:qFormat/>
    <w:rsid w:val="00464519"/>
    <w:pPr>
      <w:numPr>
        <w:numId w:val="8"/>
      </w:numPr>
    </w:pPr>
  </w:style>
  <w:style w:type="paragraph" w:customStyle="1" w:styleId="DividerPageText">
    <w:name w:val="Divider Page Text"/>
    <w:basedOn w:val="Normal"/>
    <w:uiPriority w:val="99"/>
    <w:qFormat/>
    <w:rsid w:val="00A56FE9"/>
    <w:pPr>
      <w:spacing w:before="120" w:after="120"/>
      <w:ind w:left="90" w:hanging="90"/>
      <w:jc w:val="center"/>
    </w:pPr>
    <w:rPr>
      <w:rFonts w:ascii="Calibri Light" w:hAnsi="Calibri Light" w:cs="Arial"/>
      <w:color w:val="FFFFFF"/>
      <w:sz w:val="64"/>
      <w:szCs w:val="64"/>
    </w:rPr>
  </w:style>
  <w:style w:type="paragraph" w:customStyle="1" w:styleId="CS-ThemeStatementText">
    <w:name w:val="CS-Theme Statement Text"/>
    <w:basedOn w:val="Normal"/>
    <w:qFormat/>
    <w:rsid w:val="001B3A39"/>
    <w:pPr>
      <w:spacing w:before="240" w:after="0"/>
      <w:jc w:val="center"/>
    </w:pPr>
    <w:rPr>
      <w:rFonts w:cs="Arial"/>
      <w:i/>
      <w:iCs/>
      <w:color w:val="348180"/>
      <w:sz w:val="28"/>
      <w:szCs w:val="25"/>
    </w:rPr>
  </w:style>
  <w:style w:type="paragraph" w:customStyle="1" w:styleId="CS-IBMTableText">
    <w:name w:val="CS-IBM Table Text"/>
    <w:basedOn w:val="CS-IBMResponseText"/>
    <w:qFormat/>
    <w:rsid w:val="00464519"/>
    <w:pPr>
      <w:spacing w:before="60" w:after="60"/>
    </w:pPr>
    <w:rPr>
      <w:color w:val="000000" w:themeColor="text1"/>
    </w:rPr>
  </w:style>
  <w:style w:type="paragraph" w:customStyle="1" w:styleId="CS-IBMTableBullet">
    <w:name w:val="CS-IBM Table Bullet"/>
    <w:basedOn w:val="CS-IBMBullet1"/>
    <w:qFormat/>
    <w:rsid w:val="00464519"/>
    <w:pPr>
      <w:numPr>
        <w:numId w:val="19"/>
      </w:numPr>
      <w:ind w:left="357" w:hanging="357"/>
    </w:pPr>
  </w:style>
  <w:style w:type="character" w:styleId="CommentReference">
    <w:name w:val="annotation reference"/>
    <w:uiPriority w:val="99"/>
    <w:semiHidden/>
    <w:unhideWhenUsed/>
    <w:rsid w:val="00B13498"/>
    <w:rPr>
      <w:sz w:val="18"/>
      <w:szCs w:val="18"/>
    </w:rPr>
  </w:style>
  <w:style w:type="paragraph" w:styleId="CommentText">
    <w:name w:val="annotation text"/>
    <w:basedOn w:val="Normal"/>
    <w:link w:val="CommentTextChar"/>
    <w:uiPriority w:val="99"/>
    <w:unhideWhenUsed/>
    <w:rsid w:val="00B13498"/>
    <w:rPr>
      <w:sz w:val="24"/>
      <w:szCs w:val="24"/>
    </w:rPr>
  </w:style>
  <w:style w:type="character" w:customStyle="1" w:styleId="CommentTextChar">
    <w:name w:val="Comment Text Char"/>
    <w:link w:val="CommentText"/>
    <w:uiPriority w:val="99"/>
    <w:rsid w:val="000E0AF2"/>
    <w:rPr>
      <w:rFonts w:ascii="Arial" w:hAnsi="Arial"/>
      <w:color w:val="42474C"/>
      <w:sz w:val="24"/>
      <w:szCs w:val="24"/>
      <w:lang w:eastAsia="en-GB"/>
    </w:rPr>
  </w:style>
  <w:style w:type="paragraph" w:styleId="CommentSubject">
    <w:name w:val="annotation subject"/>
    <w:basedOn w:val="CommentText"/>
    <w:next w:val="CommentText"/>
    <w:link w:val="CommentSubjectChar"/>
    <w:uiPriority w:val="99"/>
    <w:semiHidden/>
    <w:unhideWhenUsed/>
    <w:rsid w:val="00B13498"/>
    <w:rPr>
      <w:b/>
      <w:bCs/>
      <w:sz w:val="20"/>
      <w:szCs w:val="20"/>
    </w:rPr>
  </w:style>
  <w:style w:type="character" w:customStyle="1" w:styleId="CommentSubjectChar">
    <w:name w:val="Comment Subject Char"/>
    <w:link w:val="CommentSubject"/>
    <w:uiPriority w:val="99"/>
    <w:semiHidden/>
    <w:rsid w:val="000E0AF2"/>
    <w:rPr>
      <w:rFonts w:ascii="Arial" w:hAnsi="Arial"/>
      <w:b/>
      <w:bCs/>
      <w:color w:val="42474C"/>
      <w:lang w:eastAsia="en-GB"/>
    </w:rPr>
  </w:style>
  <w:style w:type="paragraph" w:styleId="BalloonText">
    <w:name w:val="Balloon Text"/>
    <w:basedOn w:val="Normal"/>
    <w:link w:val="BalloonTextChar"/>
    <w:uiPriority w:val="99"/>
    <w:semiHidden/>
    <w:unhideWhenUsed/>
    <w:rsid w:val="00B13498"/>
    <w:pPr>
      <w:spacing w:before="0" w:after="0"/>
    </w:pPr>
    <w:rPr>
      <w:rFonts w:ascii="Times New Roman" w:hAnsi="Times New Roman"/>
      <w:sz w:val="18"/>
      <w:szCs w:val="18"/>
    </w:rPr>
  </w:style>
  <w:style w:type="character" w:customStyle="1" w:styleId="BalloonTextChar">
    <w:name w:val="Balloon Text Char"/>
    <w:link w:val="BalloonText"/>
    <w:uiPriority w:val="99"/>
    <w:semiHidden/>
    <w:rsid w:val="000E0AF2"/>
    <w:rPr>
      <w:color w:val="42474C"/>
      <w:sz w:val="18"/>
      <w:szCs w:val="18"/>
      <w:lang w:eastAsia="en-GB"/>
    </w:rPr>
  </w:style>
  <w:style w:type="paragraph" w:styleId="TOCHeading">
    <w:name w:val="TOC Heading"/>
    <w:basedOn w:val="Heading1"/>
    <w:next w:val="Normal"/>
    <w:uiPriority w:val="99"/>
    <w:semiHidden/>
    <w:unhideWhenUsed/>
    <w:qFormat/>
    <w:rsid w:val="0033139A"/>
    <w:pPr>
      <w:keepLines/>
      <w:pageBreakBefore w:val="0"/>
      <w:tabs>
        <w:tab w:val="clear" w:pos="0"/>
        <w:tab w:val="clear" w:pos="720"/>
      </w:tabs>
      <w:spacing w:before="480" w:after="0" w:line="276" w:lineRule="auto"/>
      <w:outlineLvl w:val="9"/>
    </w:pPr>
    <w:rPr>
      <w:rFonts w:ascii="Cambria" w:hAnsi="Cambria" w:cs="Times New Roman"/>
      <w:b w:val="0"/>
      <w:bCs/>
      <w:color w:val="002F4E"/>
      <w:sz w:val="28"/>
      <w:szCs w:val="28"/>
      <w:lang w:eastAsia="ja-JP"/>
    </w:rPr>
  </w:style>
  <w:style w:type="paragraph" w:customStyle="1" w:styleId="CS-RFPNumber4">
    <w:name w:val="CS-RFP Number 4"/>
    <w:basedOn w:val="CS-RFPNumber3"/>
    <w:link w:val="CS-RFPNumber4Char"/>
    <w:qFormat/>
    <w:rsid w:val="00B03463"/>
    <w:pPr>
      <w:ind w:left="1434"/>
    </w:pPr>
  </w:style>
  <w:style w:type="paragraph" w:styleId="ListBullet">
    <w:name w:val="List Bullet"/>
    <w:basedOn w:val="Normal"/>
    <w:uiPriority w:val="99"/>
    <w:semiHidden/>
    <w:unhideWhenUsed/>
    <w:qFormat/>
    <w:rsid w:val="009A2739"/>
    <w:pPr>
      <w:numPr>
        <w:numId w:val="10"/>
      </w:numPr>
      <w:contextualSpacing/>
    </w:pPr>
  </w:style>
  <w:style w:type="paragraph" w:customStyle="1" w:styleId="CS-RFPNumber1">
    <w:name w:val="CS-RFP Number 1"/>
    <w:basedOn w:val="CS-IBMNumber1"/>
    <w:link w:val="CS-RFPNumber1Char"/>
    <w:autoRedefine/>
    <w:qFormat/>
    <w:rsid w:val="00B03463"/>
    <w:rPr>
      <w:color w:val="0070C0"/>
    </w:rPr>
  </w:style>
  <w:style w:type="character" w:customStyle="1" w:styleId="CS-RFPNumber4Char">
    <w:name w:val="CS-RFP Number 4 Char"/>
    <w:link w:val="CS-RFPNumber4"/>
    <w:rsid w:val="00B03463"/>
    <w:rPr>
      <w:rFonts w:ascii="Arial" w:hAnsi="Arial" w:cs="Arial"/>
      <w:color w:val="0070C0"/>
      <w:sz w:val="22"/>
      <w:szCs w:val="21"/>
      <w:lang w:eastAsia="en-GB"/>
    </w:rPr>
  </w:style>
  <w:style w:type="paragraph" w:customStyle="1" w:styleId="CS-RFPNumber2">
    <w:name w:val="CS-RFP Number 2"/>
    <w:basedOn w:val="CS-RFPNumber1"/>
    <w:link w:val="CS-RFPNumber2Char"/>
    <w:qFormat/>
    <w:rsid w:val="00B03463"/>
    <w:pPr>
      <w:ind w:left="714"/>
    </w:pPr>
  </w:style>
  <w:style w:type="character" w:customStyle="1" w:styleId="CS-RFPNumber1Char">
    <w:name w:val="CS-RFP Number 1 Char"/>
    <w:link w:val="CS-RFPNumber1"/>
    <w:rsid w:val="00B03463"/>
    <w:rPr>
      <w:rFonts w:ascii="Arial" w:hAnsi="Arial" w:cs="Arial"/>
      <w:color w:val="0070C0"/>
      <w:sz w:val="22"/>
      <w:szCs w:val="21"/>
      <w:lang w:eastAsia="en-GB"/>
    </w:rPr>
  </w:style>
  <w:style w:type="paragraph" w:customStyle="1" w:styleId="CS-RFPNumber3">
    <w:name w:val="CS-RFP Number 3"/>
    <w:basedOn w:val="CS-RFPNumber2"/>
    <w:link w:val="CS-RFPNumber3Char"/>
    <w:qFormat/>
    <w:rsid w:val="00B03463"/>
    <w:pPr>
      <w:ind w:left="1077"/>
    </w:pPr>
  </w:style>
  <w:style w:type="character" w:customStyle="1" w:styleId="CS-RFPNumber2Char">
    <w:name w:val="CS-RFP Number 2 Char"/>
    <w:link w:val="CS-RFPNumber2"/>
    <w:rsid w:val="00B03463"/>
    <w:rPr>
      <w:rFonts w:ascii="Arial" w:hAnsi="Arial" w:cs="Arial"/>
      <w:color w:val="0070C0"/>
      <w:sz w:val="22"/>
      <w:szCs w:val="21"/>
      <w:lang w:eastAsia="en-GB"/>
    </w:rPr>
  </w:style>
  <w:style w:type="paragraph" w:customStyle="1" w:styleId="CS-RFPNumber5">
    <w:name w:val="CS-RFP Number 5"/>
    <w:basedOn w:val="CS-RFPNumber4"/>
    <w:link w:val="CS-RFPNumber5Char"/>
    <w:qFormat/>
    <w:rsid w:val="00B03463"/>
    <w:pPr>
      <w:ind w:left="1707" w:hanging="272"/>
    </w:pPr>
  </w:style>
  <w:style w:type="character" w:customStyle="1" w:styleId="CS-RFPNumber3Char">
    <w:name w:val="CS-RFP Number 3 Char"/>
    <w:link w:val="CS-RFPNumber3"/>
    <w:rsid w:val="00B03463"/>
    <w:rPr>
      <w:rFonts w:ascii="Arial" w:hAnsi="Arial" w:cs="Arial"/>
      <w:color w:val="0070C0"/>
      <w:sz w:val="22"/>
      <w:szCs w:val="21"/>
      <w:lang w:eastAsia="en-GB"/>
    </w:rPr>
  </w:style>
  <w:style w:type="character" w:customStyle="1" w:styleId="CS-RFPNumber5Char">
    <w:name w:val="CS-RFP Number 5 Char"/>
    <w:link w:val="CS-RFPNumber5"/>
    <w:rsid w:val="00B03463"/>
    <w:rPr>
      <w:rFonts w:ascii="Arial" w:hAnsi="Arial" w:cs="Arial"/>
      <w:color w:val="0070C0"/>
      <w:sz w:val="22"/>
      <w:szCs w:val="21"/>
      <w:lang w:eastAsia="en-GB"/>
    </w:rPr>
  </w:style>
  <w:style w:type="paragraph" w:customStyle="1" w:styleId="CS-IBMBullet1">
    <w:name w:val="CS- IBM Bullet 1"/>
    <w:basedOn w:val="CS-IBMResponseText"/>
    <w:link w:val="CS-IBMBullet1Char"/>
    <w:qFormat/>
    <w:rsid w:val="00ED06D6"/>
    <w:pPr>
      <w:numPr>
        <w:numId w:val="14"/>
      </w:numPr>
      <w:spacing w:before="60" w:after="60"/>
    </w:pPr>
    <w:rPr>
      <w:color w:val="000000" w:themeColor="text1"/>
    </w:rPr>
  </w:style>
  <w:style w:type="paragraph" w:customStyle="1" w:styleId="CS-IBMBullet2">
    <w:name w:val="CS-IBM Bullet 2"/>
    <w:basedOn w:val="CS-IBMBullet1"/>
    <w:link w:val="CS-IBMBullet2Char"/>
    <w:qFormat/>
    <w:rsid w:val="00ED06D6"/>
    <w:pPr>
      <w:numPr>
        <w:numId w:val="15"/>
      </w:numPr>
      <w:ind w:left="714" w:hanging="357"/>
    </w:pPr>
  </w:style>
  <w:style w:type="character" w:customStyle="1" w:styleId="CS-RFPBullet1Char">
    <w:name w:val="CS-RFP Bullet 1 Char"/>
    <w:link w:val="CS-RFPBullet1"/>
    <w:rsid w:val="00464519"/>
    <w:rPr>
      <w:rFonts w:ascii="Century Gothic" w:hAnsi="Century Gothic" w:cs="Arial"/>
      <w:color w:val="0070C0"/>
      <w:sz w:val="22"/>
      <w:szCs w:val="21"/>
      <w:lang w:eastAsia="en-GB"/>
    </w:rPr>
  </w:style>
  <w:style w:type="character" w:customStyle="1" w:styleId="CS-IBMBullet1Char">
    <w:name w:val="CS- IBM Bullet 1 Char"/>
    <w:link w:val="CS-IBMBullet1"/>
    <w:rsid w:val="00ED06D6"/>
    <w:rPr>
      <w:rFonts w:ascii="Century Gothic" w:hAnsi="Century Gothic" w:cs="Arial"/>
      <w:color w:val="000000" w:themeColor="text1"/>
      <w:sz w:val="22"/>
      <w:szCs w:val="21"/>
      <w:lang w:eastAsia="en-GB"/>
    </w:rPr>
  </w:style>
  <w:style w:type="paragraph" w:customStyle="1" w:styleId="CS-IBMBullet3">
    <w:name w:val="CS-IBM Bullet 3"/>
    <w:basedOn w:val="CS-IBMBullet2"/>
    <w:link w:val="CS-IBMBullet3Char"/>
    <w:qFormat/>
    <w:rsid w:val="00ED06D6"/>
    <w:pPr>
      <w:numPr>
        <w:numId w:val="16"/>
      </w:numPr>
    </w:pPr>
  </w:style>
  <w:style w:type="character" w:customStyle="1" w:styleId="CS-RFPBullet2Char">
    <w:name w:val="CS-RFP Bullet 2 Char"/>
    <w:link w:val="CS-RFPBullet2"/>
    <w:rsid w:val="00464519"/>
    <w:rPr>
      <w:rFonts w:ascii="Century Gothic" w:hAnsi="Century Gothic" w:cs="Arial"/>
      <w:color w:val="0070C0"/>
      <w:sz w:val="22"/>
      <w:szCs w:val="21"/>
      <w:lang w:eastAsia="en-GB"/>
    </w:rPr>
  </w:style>
  <w:style w:type="character" w:customStyle="1" w:styleId="CS-IBMBullet2Char">
    <w:name w:val="CS-IBM Bullet 2 Char"/>
    <w:link w:val="CS-IBMBullet2"/>
    <w:rsid w:val="00ED06D6"/>
    <w:rPr>
      <w:rFonts w:ascii="Century Gothic" w:hAnsi="Century Gothic" w:cs="Arial"/>
      <w:color w:val="000000" w:themeColor="text1"/>
      <w:sz w:val="22"/>
      <w:szCs w:val="21"/>
      <w:lang w:eastAsia="en-GB"/>
    </w:rPr>
  </w:style>
  <w:style w:type="paragraph" w:customStyle="1" w:styleId="CS-IBMBullet4">
    <w:name w:val="CS-IBM Bullet 4"/>
    <w:basedOn w:val="CS-IBMBullet3"/>
    <w:link w:val="CS-IBMBullet4Char"/>
    <w:qFormat/>
    <w:rsid w:val="00ED06D6"/>
    <w:pPr>
      <w:numPr>
        <w:numId w:val="22"/>
      </w:numPr>
    </w:pPr>
  </w:style>
  <w:style w:type="character" w:customStyle="1" w:styleId="CS-RFPBullet3Char">
    <w:name w:val="CS-RFP Bullet 3 Char"/>
    <w:link w:val="CS-RFPBullet3"/>
    <w:rsid w:val="00464519"/>
    <w:rPr>
      <w:rFonts w:ascii="Century Gothic" w:hAnsi="Century Gothic" w:cs="Arial"/>
      <w:color w:val="0070C0"/>
      <w:sz w:val="22"/>
      <w:szCs w:val="21"/>
      <w:lang w:eastAsia="en-GB"/>
    </w:rPr>
  </w:style>
  <w:style w:type="character" w:customStyle="1" w:styleId="CS-IBMBullet3Char">
    <w:name w:val="CS-IBM Bullet 3 Char"/>
    <w:link w:val="CS-IBMBullet3"/>
    <w:rsid w:val="00ED06D6"/>
    <w:rPr>
      <w:rFonts w:ascii="Century Gothic" w:hAnsi="Century Gothic" w:cs="Arial"/>
      <w:color w:val="000000" w:themeColor="text1"/>
      <w:sz w:val="22"/>
      <w:szCs w:val="21"/>
      <w:lang w:eastAsia="en-GB"/>
    </w:rPr>
  </w:style>
  <w:style w:type="paragraph" w:customStyle="1" w:styleId="CS-IBMBullet5">
    <w:name w:val="CS-IBM Bullet 5"/>
    <w:basedOn w:val="CS-IBMBullet4"/>
    <w:link w:val="CS-IBMBullet5Char"/>
    <w:qFormat/>
    <w:rsid w:val="00ED06D6"/>
    <w:pPr>
      <w:numPr>
        <w:numId w:val="23"/>
      </w:numPr>
    </w:pPr>
  </w:style>
  <w:style w:type="character" w:customStyle="1" w:styleId="CS-RFPBullet4Char">
    <w:name w:val="CS-RFP Bullet 4 Char"/>
    <w:link w:val="CS-RFPBullet4"/>
    <w:rsid w:val="00464519"/>
    <w:rPr>
      <w:rFonts w:ascii="Century Gothic" w:hAnsi="Century Gothic" w:cs="Arial"/>
      <w:color w:val="0070C0"/>
      <w:sz w:val="22"/>
      <w:szCs w:val="21"/>
      <w:lang w:eastAsia="en-GB"/>
    </w:rPr>
  </w:style>
  <w:style w:type="character" w:customStyle="1" w:styleId="CS-IBMBullet4Char">
    <w:name w:val="CS-IBM Bullet 4 Char"/>
    <w:link w:val="CS-IBMBullet4"/>
    <w:rsid w:val="00ED06D6"/>
    <w:rPr>
      <w:rFonts w:ascii="Century Gothic" w:hAnsi="Century Gothic" w:cs="Arial"/>
      <w:color w:val="000000" w:themeColor="text1"/>
      <w:sz w:val="22"/>
      <w:szCs w:val="21"/>
      <w:lang w:eastAsia="en-GB"/>
    </w:rPr>
  </w:style>
  <w:style w:type="paragraph" w:customStyle="1" w:styleId="CS-IBMNumber1">
    <w:name w:val="CS-IBM Number 1"/>
    <w:basedOn w:val="CS-IBMResponseText"/>
    <w:link w:val="CS-IBMNumber1Char"/>
    <w:qFormat/>
    <w:rsid w:val="00ED06D6"/>
    <w:pPr>
      <w:spacing w:before="60" w:after="60"/>
      <w:ind w:left="357" w:hanging="357"/>
    </w:pPr>
    <w:rPr>
      <w:color w:val="000000" w:themeColor="text1"/>
    </w:rPr>
  </w:style>
  <w:style w:type="character" w:customStyle="1" w:styleId="CS-RFPBullet5Char">
    <w:name w:val="CS-RFP Bullet 5 Char"/>
    <w:link w:val="CS-RFPBullet5"/>
    <w:rsid w:val="00464519"/>
    <w:rPr>
      <w:rFonts w:ascii="Century Gothic" w:hAnsi="Century Gothic" w:cs="Arial"/>
      <w:color w:val="0070C0"/>
      <w:sz w:val="22"/>
      <w:szCs w:val="21"/>
      <w:lang w:eastAsia="en-GB"/>
    </w:rPr>
  </w:style>
  <w:style w:type="character" w:customStyle="1" w:styleId="CS-IBMBullet5Char">
    <w:name w:val="CS-IBM Bullet 5 Char"/>
    <w:link w:val="CS-IBMBullet5"/>
    <w:rsid w:val="00ED06D6"/>
    <w:rPr>
      <w:rFonts w:ascii="Century Gothic" w:hAnsi="Century Gothic" w:cs="Arial"/>
      <w:color w:val="000000" w:themeColor="text1"/>
      <w:sz w:val="22"/>
      <w:szCs w:val="21"/>
      <w:lang w:eastAsia="en-GB"/>
    </w:rPr>
  </w:style>
  <w:style w:type="paragraph" w:customStyle="1" w:styleId="CS-IBMNumber2">
    <w:name w:val="CS-IBM Number 2"/>
    <w:basedOn w:val="CS-IBMNumber1"/>
    <w:link w:val="CS-IBMNumber2Char"/>
    <w:qFormat/>
    <w:rsid w:val="00464519"/>
    <w:pPr>
      <w:ind w:left="714"/>
    </w:pPr>
  </w:style>
  <w:style w:type="character" w:customStyle="1" w:styleId="CS-IBMNumber1Char">
    <w:name w:val="CS-IBM Number 1 Char"/>
    <w:link w:val="CS-IBMNumber1"/>
    <w:rsid w:val="00ED06D6"/>
    <w:rPr>
      <w:rFonts w:ascii="Arial" w:hAnsi="Arial" w:cs="Arial"/>
      <w:color w:val="000000" w:themeColor="text1"/>
      <w:sz w:val="22"/>
      <w:szCs w:val="21"/>
      <w:lang w:eastAsia="en-GB"/>
    </w:rPr>
  </w:style>
  <w:style w:type="paragraph" w:customStyle="1" w:styleId="CS-IBMNumber3">
    <w:name w:val="CS-IBM Number 3"/>
    <w:basedOn w:val="CS-IBMNumber2"/>
    <w:link w:val="CS-IBMNumber3Char"/>
    <w:qFormat/>
    <w:rsid w:val="00464519"/>
    <w:pPr>
      <w:ind w:left="1077"/>
    </w:pPr>
  </w:style>
  <w:style w:type="character" w:customStyle="1" w:styleId="CS-IBMNumber2Char">
    <w:name w:val="CS-IBM Number 2 Char"/>
    <w:link w:val="CS-IBMNumber2"/>
    <w:rsid w:val="00464519"/>
    <w:rPr>
      <w:rFonts w:ascii="Arial" w:hAnsi="Arial" w:cs="Arial"/>
      <w:color w:val="000000" w:themeColor="text1"/>
      <w:sz w:val="22"/>
      <w:szCs w:val="21"/>
      <w:lang w:eastAsia="en-GB"/>
    </w:rPr>
  </w:style>
  <w:style w:type="paragraph" w:customStyle="1" w:styleId="CS-IBMNumber4">
    <w:name w:val="CS-IBM Number 4"/>
    <w:basedOn w:val="CS-IBMNumber3"/>
    <w:link w:val="CS-IBMNumber4Char"/>
    <w:qFormat/>
    <w:rsid w:val="00464519"/>
    <w:pPr>
      <w:ind w:left="1434"/>
    </w:pPr>
  </w:style>
  <w:style w:type="character" w:customStyle="1" w:styleId="CS-IBMNumber3Char">
    <w:name w:val="CS-IBM Number 3 Char"/>
    <w:link w:val="CS-IBMNumber3"/>
    <w:rsid w:val="00464519"/>
    <w:rPr>
      <w:rFonts w:ascii="Arial" w:hAnsi="Arial" w:cs="Arial"/>
      <w:color w:val="000000" w:themeColor="text1"/>
      <w:sz w:val="22"/>
      <w:szCs w:val="21"/>
      <w:lang w:eastAsia="en-GB"/>
    </w:rPr>
  </w:style>
  <w:style w:type="paragraph" w:customStyle="1" w:styleId="CS-IBMNumber5">
    <w:name w:val="CS-IBM Number 5"/>
    <w:basedOn w:val="CS-IBMNumber4"/>
    <w:link w:val="CS-IBMNumber5Char"/>
    <w:qFormat/>
    <w:rsid w:val="00464519"/>
    <w:pPr>
      <w:ind w:left="1707" w:hanging="272"/>
    </w:pPr>
  </w:style>
  <w:style w:type="character" w:customStyle="1" w:styleId="CS-IBMNumber4Char">
    <w:name w:val="CS-IBM Number 4 Char"/>
    <w:link w:val="CS-IBMNumber4"/>
    <w:rsid w:val="00464519"/>
    <w:rPr>
      <w:rFonts w:ascii="Arial" w:hAnsi="Arial" w:cs="Arial"/>
      <w:color w:val="000000" w:themeColor="text1"/>
      <w:sz w:val="22"/>
      <w:szCs w:val="21"/>
      <w:lang w:eastAsia="en-GB"/>
    </w:rPr>
  </w:style>
  <w:style w:type="character" w:customStyle="1" w:styleId="CS-IBMNumber5Char">
    <w:name w:val="CS-IBM Number 5 Char"/>
    <w:link w:val="CS-IBMNumber5"/>
    <w:rsid w:val="00464519"/>
    <w:rPr>
      <w:rFonts w:ascii="Arial" w:hAnsi="Arial" w:cs="Arial"/>
      <w:color w:val="000000" w:themeColor="text1"/>
      <w:sz w:val="22"/>
      <w:szCs w:val="21"/>
      <w:lang w:eastAsia="en-GB"/>
    </w:rPr>
  </w:style>
  <w:style w:type="character" w:customStyle="1" w:styleId="CS-RFPBodyTextChar">
    <w:name w:val="CS-RFP Body Text Char"/>
    <w:link w:val="CS-RFPBodyText"/>
    <w:rsid w:val="00464519"/>
    <w:rPr>
      <w:rFonts w:ascii="Arial" w:hAnsi="Arial" w:cs="Arial"/>
      <w:color w:val="0070C0"/>
      <w:sz w:val="22"/>
      <w:szCs w:val="21"/>
      <w:lang w:eastAsia="en-GB"/>
    </w:rPr>
  </w:style>
  <w:style w:type="paragraph" w:customStyle="1" w:styleId="CS-IBMTableBullet2">
    <w:name w:val="CS-IBM Table Bullet 2"/>
    <w:basedOn w:val="CS-IBMBullet2"/>
    <w:qFormat/>
    <w:rsid w:val="00806112"/>
    <w:pPr>
      <w:numPr>
        <w:numId w:val="20"/>
      </w:numPr>
      <w:ind w:left="714" w:hanging="357"/>
    </w:pPr>
  </w:style>
  <w:style w:type="character" w:customStyle="1" w:styleId="FooterChar">
    <w:name w:val="Footer Char"/>
    <w:basedOn w:val="DefaultParagraphFont"/>
    <w:link w:val="Footer"/>
    <w:uiPriority w:val="99"/>
    <w:rsid w:val="00D57F1D"/>
    <w:rPr>
      <w:rFonts w:ascii="Arial" w:hAnsi="Arial" w:cs="Arial"/>
      <w:noProof/>
      <w:color w:val="0E3152"/>
      <w:sz w:val="18"/>
      <w:szCs w:val="21"/>
      <w:lang w:eastAsia="en-GB"/>
    </w:rPr>
  </w:style>
  <w:style w:type="character" w:styleId="UnresolvedMention">
    <w:name w:val="Unresolved Mention"/>
    <w:basedOn w:val="DefaultParagraphFont"/>
    <w:uiPriority w:val="99"/>
    <w:semiHidden/>
    <w:unhideWhenUsed/>
    <w:rsid w:val="00F55693"/>
    <w:rPr>
      <w:color w:val="605E5C"/>
      <w:shd w:val="clear" w:color="auto" w:fill="E1DFDD"/>
    </w:rPr>
  </w:style>
  <w:style w:type="paragraph" w:customStyle="1" w:styleId="CS-IBMCoverLetterAddress">
    <w:name w:val="CS-IBM Cover Letter Address"/>
    <w:qFormat/>
    <w:rsid w:val="00ED06D6"/>
    <w:rPr>
      <w:rFonts w:ascii="Arial" w:eastAsiaTheme="minorHAnsi" w:hAnsi="Arial" w:cstheme="minorBidi"/>
      <w:color w:val="008ABF" w:themeColor="accent2"/>
      <w:sz w:val="14"/>
      <w:szCs w:val="14"/>
    </w:rPr>
  </w:style>
  <w:style w:type="paragraph" w:customStyle="1" w:styleId="CS-IBMResponseText">
    <w:name w:val="CS - IBM Response Text"/>
    <w:qFormat/>
    <w:rsid w:val="006565DC"/>
    <w:pPr>
      <w:spacing w:before="120" w:after="120"/>
    </w:pPr>
    <w:rPr>
      <w:rFonts w:ascii="Century Gothic" w:hAnsi="Century Gothic" w:cs="Arial"/>
      <w:color w:val="0D0D0D" w:themeColor="text1" w:themeTint="F2"/>
      <w:sz w:val="22"/>
      <w:szCs w:val="21"/>
      <w:lang w:eastAsia="en-GB"/>
    </w:rPr>
  </w:style>
  <w:style w:type="paragraph" w:customStyle="1" w:styleId="CS-IBMCoverLetterText">
    <w:name w:val="CS - IBM Cover Letter Text"/>
    <w:basedOn w:val="CS-IBMResponseText"/>
    <w:qFormat/>
    <w:rsid w:val="003E58D5"/>
    <w:rPr>
      <w:szCs w:val="20"/>
    </w:rPr>
  </w:style>
  <w:style w:type="paragraph" w:customStyle="1" w:styleId="CS-IBMCoverLetterBullet">
    <w:name w:val="CS - IBM Cover Letter Bullet"/>
    <w:basedOn w:val="CS-IBMCoverLetterText"/>
    <w:qFormat/>
    <w:rsid w:val="003E58D5"/>
    <w:pPr>
      <w:numPr>
        <w:numId w:val="18"/>
      </w:numPr>
      <w:spacing w:before="60" w:after="60"/>
      <w:ind w:left="357" w:hanging="357"/>
    </w:pPr>
  </w:style>
  <w:style w:type="paragraph" w:customStyle="1" w:styleId="CS-IBMFigureorTableCaption">
    <w:name w:val="CS-IBM Figure or Table Caption"/>
    <w:next w:val="CS-IBMResponseText"/>
    <w:qFormat/>
    <w:rsid w:val="003E58D5"/>
    <w:pPr>
      <w:spacing w:before="120" w:after="120"/>
      <w:jc w:val="center"/>
    </w:pPr>
    <w:rPr>
      <w:rFonts w:ascii="Century Gothic" w:hAnsi="Century Gothic" w:cs="Arial"/>
      <w:i/>
      <w:iCs/>
      <w:color w:val="000000" w:themeColor="text1"/>
      <w:sz w:val="18"/>
      <w:szCs w:val="18"/>
      <w:lang w:eastAsia="en-GB"/>
    </w:rPr>
  </w:style>
  <w:style w:type="paragraph" w:customStyle="1" w:styleId="CS-IBMCalloutTitle">
    <w:name w:val="CS-IBM Callout Title"/>
    <w:basedOn w:val="CS-IBMResponseText"/>
    <w:qFormat/>
    <w:rsid w:val="00ED06D6"/>
    <w:pPr>
      <w:spacing w:before="60"/>
      <w:jc w:val="center"/>
    </w:pPr>
    <w:rPr>
      <w:rFonts w:cstheme="minorBidi"/>
      <w:b/>
      <w:bCs/>
      <w:i/>
      <w:iCs/>
      <w:color w:val="000000" w:themeColor="text1"/>
      <w:kern w:val="24"/>
      <w:szCs w:val="24"/>
    </w:rPr>
  </w:style>
  <w:style w:type="paragraph" w:customStyle="1" w:styleId="CS-IBMCalloutBullet">
    <w:name w:val="CS-IBM Callout Bullet"/>
    <w:basedOn w:val="CS-IBMBullet1"/>
    <w:qFormat/>
    <w:rsid w:val="00ED06D6"/>
    <w:pPr>
      <w:numPr>
        <w:numId w:val="17"/>
      </w:numPr>
      <w:ind w:left="357" w:hanging="357"/>
    </w:pPr>
    <w:rPr>
      <w:rFonts w:cstheme="minorBidi"/>
      <w:iCs/>
      <w:kern w:val="24"/>
    </w:rPr>
  </w:style>
  <w:style w:type="paragraph" w:customStyle="1" w:styleId="CS-IBMCalloutText">
    <w:name w:val="CS-IBM Callout Text"/>
    <w:basedOn w:val="CS-IBMResponseText"/>
    <w:qFormat/>
    <w:rsid w:val="00ED06D6"/>
    <w:pPr>
      <w:spacing w:before="60" w:after="60"/>
    </w:pPr>
  </w:style>
  <w:style w:type="paragraph" w:customStyle="1" w:styleId="CS-IBMTableBullet3">
    <w:name w:val="CS-IBM Table Bullet 3"/>
    <w:basedOn w:val="CS-IBMBullet3"/>
    <w:qFormat/>
    <w:rsid w:val="00806112"/>
    <w:pPr>
      <w:numPr>
        <w:numId w:val="21"/>
      </w:numPr>
      <w:ind w:left="1071" w:hanging="357"/>
    </w:pPr>
  </w:style>
  <w:style w:type="paragraph" w:customStyle="1" w:styleId="CS-IBMSub-ColumnHeader">
    <w:name w:val="CS-IBM Sub-Column Header"/>
    <w:basedOn w:val="CS-IBMTableText"/>
    <w:uiPriority w:val="99"/>
    <w:qFormat/>
    <w:rsid w:val="00464519"/>
    <w:pPr>
      <w:jc w:val="center"/>
    </w:pPr>
    <w:rPr>
      <w:b/>
      <w:bCs/>
    </w:rPr>
  </w:style>
  <w:style w:type="paragraph" w:styleId="Revision">
    <w:name w:val="Revision"/>
    <w:hidden/>
    <w:uiPriority w:val="99"/>
    <w:semiHidden/>
    <w:rsid w:val="00D11847"/>
    <w:rPr>
      <w:rFonts w:ascii="Arial" w:hAnsi="Arial"/>
      <w:color w:val="000000" w:themeColor="text1"/>
      <w:sz w:val="22"/>
      <w:szCs w:val="22"/>
      <w:lang w:eastAsia="en-GB"/>
    </w:rPr>
  </w:style>
  <w:style w:type="paragraph" w:styleId="Caption">
    <w:name w:val="caption"/>
    <w:basedOn w:val="Normal"/>
    <w:next w:val="Normal"/>
    <w:unhideWhenUsed/>
    <w:qFormat/>
    <w:rsid w:val="00F05C9E"/>
    <w:pPr>
      <w:spacing w:before="0" w:after="200"/>
    </w:pPr>
    <w:rPr>
      <w:i/>
      <w:iCs/>
      <w:color w:val="000000" w:themeColor="text2"/>
      <w:sz w:val="18"/>
      <w:szCs w:val="18"/>
    </w:rPr>
  </w:style>
  <w:style w:type="paragraph" w:customStyle="1" w:styleId="CS-IBMFooter">
    <w:name w:val="CS-IBM Footer"/>
    <w:basedOn w:val="CS-IBMHeader"/>
    <w:uiPriority w:val="99"/>
    <w:qFormat/>
    <w:rsid w:val="003E58D5"/>
    <w:pPr>
      <w:pBdr>
        <w:top w:val="single" w:sz="4" w:space="10" w:color="auto"/>
        <w:bottom w:val="none" w:sz="0" w:space="0" w:color="auto"/>
      </w:pBdr>
      <w:spacing w:before="240"/>
    </w:pPr>
    <w:rPr>
      <w:szCs w:val="18"/>
    </w:rPr>
  </w:style>
  <w:style w:type="paragraph" w:styleId="ListParagraph">
    <w:name w:val="List Paragraph"/>
    <w:basedOn w:val="Normal"/>
    <w:uiPriority w:val="34"/>
    <w:qFormat/>
    <w:rsid w:val="45572E76"/>
    <w:pPr>
      <w:ind w:left="720"/>
      <w:contextualSpacing/>
    </w:pPr>
  </w:style>
  <w:style w:type="character" w:customStyle="1" w:styleId="Heading3Char">
    <w:name w:val="Heading 3 Char"/>
    <w:aliases w:val="CS IBM-Heading 3 Char"/>
    <w:basedOn w:val="DefaultParagraphFont"/>
    <w:link w:val="Heading3"/>
    <w:uiPriority w:val="99"/>
    <w:rsid w:val="00C10CAF"/>
    <w:rPr>
      <w:rFonts w:ascii="Century Gothic" w:hAnsi="Century Gothic" w:cs="Arial"/>
      <w:color w:val="0070C0"/>
      <w:sz w:val="32"/>
      <w:szCs w:val="36"/>
      <w:lang w:eastAsia="en-GB"/>
    </w:rPr>
  </w:style>
  <w:style w:type="character" w:styleId="Mention">
    <w:name w:val="Mention"/>
    <w:basedOn w:val="DefaultParagraphFont"/>
    <w:uiPriority w:val="99"/>
    <w:unhideWhenUsed/>
    <w:rsid w:val="00B9103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16351">
      <w:bodyDiv w:val="1"/>
      <w:marLeft w:val="0"/>
      <w:marRight w:val="0"/>
      <w:marTop w:val="0"/>
      <w:marBottom w:val="0"/>
      <w:divBdr>
        <w:top w:val="none" w:sz="0" w:space="0" w:color="auto"/>
        <w:left w:val="none" w:sz="0" w:space="0" w:color="auto"/>
        <w:bottom w:val="none" w:sz="0" w:space="0" w:color="auto"/>
        <w:right w:val="none" w:sz="0" w:space="0" w:color="auto"/>
      </w:divBdr>
    </w:div>
    <w:div w:id="49160995">
      <w:bodyDiv w:val="1"/>
      <w:marLeft w:val="0"/>
      <w:marRight w:val="0"/>
      <w:marTop w:val="0"/>
      <w:marBottom w:val="0"/>
      <w:divBdr>
        <w:top w:val="none" w:sz="0" w:space="0" w:color="auto"/>
        <w:left w:val="none" w:sz="0" w:space="0" w:color="auto"/>
        <w:bottom w:val="none" w:sz="0" w:space="0" w:color="auto"/>
        <w:right w:val="none" w:sz="0" w:space="0" w:color="auto"/>
      </w:divBdr>
    </w:div>
    <w:div w:id="272171998">
      <w:bodyDiv w:val="1"/>
      <w:marLeft w:val="0"/>
      <w:marRight w:val="0"/>
      <w:marTop w:val="0"/>
      <w:marBottom w:val="0"/>
      <w:divBdr>
        <w:top w:val="none" w:sz="0" w:space="0" w:color="auto"/>
        <w:left w:val="none" w:sz="0" w:space="0" w:color="auto"/>
        <w:bottom w:val="none" w:sz="0" w:space="0" w:color="auto"/>
        <w:right w:val="none" w:sz="0" w:space="0" w:color="auto"/>
      </w:divBdr>
    </w:div>
    <w:div w:id="482041789">
      <w:bodyDiv w:val="1"/>
      <w:marLeft w:val="0"/>
      <w:marRight w:val="0"/>
      <w:marTop w:val="0"/>
      <w:marBottom w:val="0"/>
      <w:divBdr>
        <w:top w:val="none" w:sz="0" w:space="0" w:color="auto"/>
        <w:left w:val="none" w:sz="0" w:space="0" w:color="auto"/>
        <w:bottom w:val="none" w:sz="0" w:space="0" w:color="auto"/>
        <w:right w:val="none" w:sz="0" w:space="0" w:color="auto"/>
      </w:divBdr>
    </w:div>
    <w:div w:id="549073374">
      <w:bodyDiv w:val="1"/>
      <w:marLeft w:val="0"/>
      <w:marRight w:val="0"/>
      <w:marTop w:val="0"/>
      <w:marBottom w:val="0"/>
      <w:divBdr>
        <w:top w:val="none" w:sz="0" w:space="0" w:color="auto"/>
        <w:left w:val="none" w:sz="0" w:space="0" w:color="auto"/>
        <w:bottom w:val="none" w:sz="0" w:space="0" w:color="auto"/>
        <w:right w:val="none" w:sz="0" w:space="0" w:color="auto"/>
      </w:divBdr>
    </w:div>
    <w:div w:id="567690305">
      <w:bodyDiv w:val="1"/>
      <w:marLeft w:val="0"/>
      <w:marRight w:val="0"/>
      <w:marTop w:val="0"/>
      <w:marBottom w:val="0"/>
      <w:divBdr>
        <w:top w:val="none" w:sz="0" w:space="0" w:color="auto"/>
        <w:left w:val="none" w:sz="0" w:space="0" w:color="auto"/>
        <w:bottom w:val="none" w:sz="0" w:space="0" w:color="auto"/>
        <w:right w:val="none" w:sz="0" w:space="0" w:color="auto"/>
      </w:divBdr>
      <w:divsChild>
        <w:div w:id="468985837">
          <w:marLeft w:val="446"/>
          <w:marRight w:val="0"/>
          <w:marTop w:val="0"/>
          <w:marBottom w:val="0"/>
          <w:divBdr>
            <w:top w:val="none" w:sz="0" w:space="0" w:color="auto"/>
            <w:left w:val="none" w:sz="0" w:space="0" w:color="auto"/>
            <w:bottom w:val="none" w:sz="0" w:space="0" w:color="auto"/>
            <w:right w:val="none" w:sz="0" w:space="0" w:color="auto"/>
          </w:divBdr>
        </w:div>
        <w:div w:id="657225292">
          <w:marLeft w:val="446"/>
          <w:marRight w:val="0"/>
          <w:marTop w:val="0"/>
          <w:marBottom w:val="0"/>
          <w:divBdr>
            <w:top w:val="none" w:sz="0" w:space="0" w:color="auto"/>
            <w:left w:val="none" w:sz="0" w:space="0" w:color="auto"/>
            <w:bottom w:val="none" w:sz="0" w:space="0" w:color="auto"/>
            <w:right w:val="none" w:sz="0" w:space="0" w:color="auto"/>
          </w:divBdr>
        </w:div>
        <w:div w:id="1993173794">
          <w:marLeft w:val="446"/>
          <w:marRight w:val="0"/>
          <w:marTop w:val="0"/>
          <w:marBottom w:val="0"/>
          <w:divBdr>
            <w:top w:val="none" w:sz="0" w:space="0" w:color="auto"/>
            <w:left w:val="none" w:sz="0" w:space="0" w:color="auto"/>
            <w:bottom w:val="none" w:sz="0" w:space="0" w:color="auto"/>
            <w:right w:val="none" w:sz="0" w:space="0" w:color="auto"/>
          </w:divBdr>
        </w:div>
      </w:divsChild>
    </w:div>
    <w:div w:id="571886505">
      <w:bodyDiv w:val="1"/>
      <w:marLeft w:val="0"/>
      <w:marRight w:val="0"/>
      <w:marTop w:val="0"/>
      <w:marBottom w:val="0"/>
      <w:divBdr>
        <w:top w:val="none" w:sz="0" w:space="0" w:color="auto"/>
        <w:left w:val="none" w:sz="0" w:space="0" w:color="auto"/>
        <w:bottom w:val="none" w:sz="0" w:space="0" w:color="auto"/>
        <w:right w:val="none" w:sz="0" w:space="0" w:color="auto"/>
      </w:divBdr>
    </w:div>
    <w:div w:id="605502006">
      <w:bodyDiv w:val="1"/>
      <w:marLeft w:val="0"/>
      <w:marRight w:val="0"/>
      <w:marTop w:val="0"/>
      <w:marBottom w:val="0"/>
      <w:divBdr>
        <w:top w:val="none" w:sz="0" w:space="0" w:color="auto"/>
        <w:left w:val="none" w:sz="0" w:space="0" w:color="auto"/>
        <w:bottom w:val="none" w:sz="0" w:space="0" w:color="auto"/>
        <w:right w:val="none" w:sz="0" w:space="0" w:color="auto"/>
      </w:divBdr>
    </w:div>
    <w:div w:id="605843288">
      <w:bodyDiv w:val="1"/>
      <w:marLeft w:val="0"/>
      <w:marRight w:val="0"/>
      <w:marTop w:val="0"/>
      <w:marBottom w:val="0"/>
      <w:divBdr>
        <w:top w:val="none" w:sz="0" w:space="0" w:color="auto"/>
        <w:left w:val="none" w:sz="0" w:space="0" w:color="auto"/>
        <w:bottom w:val="none" w:sz="0" w:space="0" w:color="auto"/>
        <w:right w:val="none" w:sz="0" w:space="0" w:color="auto"/>
      </w:divBdr>
    </w:div>
    <w:div w:id="686949029">
      <w:bodyDiv w:val="1"/>
      <w:marLeft w:val="0"/>
      <w:marRight w:val="0"/>
      <w:marTop w:val="0"/>
      <w:marBottom w:val="0"/>
      <w:divBdr>
        <w:top w:val="none" w:sz="0" w:space="0" w:color="auto"/>
        <w:left w:val="none" w:sz="0" w:space="0" w:color="auto"/>
        <w:bottom w:val="none" w:sz="0" w:space="0" w:color="auto"/>
        <w:right w:val="none" w:sz="0" w:space="0" w:color="auto"/>
      </w:divBdr>
      <w:divsChild>
        <w:div w:id="756171419">
          <w:marLeft w:val="446"/>
          <w:marRight w:val="0"/>
          <w:marTop w:val="0"/>
          <w:marBottom w:val="0"/>
          <w:divBdr>
            <w:top w:val="none" w:sz="0" w:space="0" w:color="auto"/>
            <w:left w:val="none" w:sz="0" w:space="0" w:color="auto"/>
            <w:bottom w:val="none" w:sz="0" w:space="0" w:color="auto"/>
            <w:right w:val="none" w:sz="0" w:space="0" w:color="auto"/>
          </w:divBdr>
        </w:div>
        <w:div w:id="1896743305">
          <w:marLeft w:val="446"/>
          <w:marRight w:val="0"/>
          <w:marTop w:val="0"/>
          <w:marBottom w:val="0"/>
          <w:divBdr>
            <w:top w:val="none" w:sz="0" w:space="0" w:color="auto"/>
            <w:left w:val="none" w:sz="0" w:space="0" w:color="auto"/>
            <w:bottom w:val="none" w:sz="0" w:space="0" w:color="auto"/>
            <w:right w:val="none" w:sz="0" w:space="0" w:color="auto"/>
          </w:divBdr>
        </w:div>
        <w:div w:id="1957633357">
          <w:marLeft w:val="446"/>
          <w:marRight w:val="0"/>
          <w:marTop w:val="0"/>
          <w:marBottom w:val="0"/>
          <w:divBdr>
            <w:top w:val="none" w:sz="0" w:space="0" w:color="auto"/>
            <w:left w:val="none" w:sz="0" w:space="0" w:color="auto"/>
            <w:bottom w:val="none" w:sz="0" w:space="0" w:color="auto"/>
            <w:right w:val="none" w:sz="0" w:space="0" w:color="auto"/>
          </w:divBdr>
        </w:div>
      </w:divsChild>
    </w:div>
    <w:div w:id="792211103">
      <w:bodyDiv w:val="1"/>
      <w:marLeft w:val="0"/>
      <w:marRight w:val="0"/>
      <w:marTop w:val="0"/>
      <w:marBottom w:val="0"/>
      <w:divBdr>
        <w:top w:val="none" w:sz="0" w:space="0" w:color="auto"/>
        <w:left w:val="none" w:sz="0" w:space="0" w:color="auto"/>
        <w:bottom w:val="none" w:sz="0" w:space="0" w:color="auto"/>
        <w:right w:val="none" w:sz="0" w:space="0" w:color="auto"/>
      </w:divBdr>
    </w:div>
    <w:div w:id="799571455">
      <w:bodyDiv w:val="1"/>
      <w:marLeft w:val="0"/>
      <w:marRight w:val="0"/>
      <w:marTop w:val="0"/>
      <w:marBottom w:val="0"/>
      <w:divBdr>
        <w:top w:val="none" w:sz="0" w:space="0" w:color="auto"/>
        <w:left w:val="none" w:sz="0" w:space="0" w:color="auto"/>
        <w:bottom w:val="none" w:sz="0" w:space="0" w:color="auto"/>
        <w:right w:val="none" w:sz="0" w:space="0" w:color="auto"/>
      </w:divBdr>
      <w:divsChild>
        <w:div w:id="796601215">
          <w:marLeft w:val="446"/>
          <w:marRight w:val="0"/>
          <w:marTop w:val="0"/>
          <w:marBottom w:val="0"/>
          <w:divBdr>
            <w:top w:val="none" w:sz="0" w:space="0" w:color="auto"/>
            <w:left w:val="none" w:sz="0" w:space="0" w:color="auto"/>
            <w:bottom w:val="none" w:sz="0" w:space="0" w:color="auto"/>
            <w:right w:val="none" w:sz="0" w:space="0" w:color="auto"/>
          </w:divBdr>
        </w:div>
        <w:div w:id="1280798891">
          <w:marLeft w:val="446"/>
          <w:marRight w:val="0"/>
          <w:marTop w:val="0"/>
          <w:marBottom w:val="0"/>
          <w:divBdr>
            <w:top w:val="none" w:sz="0" w:space="0" w:color="auto"/>
            <w:left w:val="none" w:sz="0" w:space="0" w:color="auto"/>
            <w:bottom w:val="none" w:sz="0" w:space="0" w:color="auto"/>
            <w:right w:val="none" w:sz="0" w:space="0" w:color="auto"/>
          </w:divBdr>
        </w:div>
        <w:div w:id="1829979636">
          <w:marLeft w:val="446"/>
          <w:marRight w:val="0"/>
          <w:marTop w:val="0"/>
          <w:marBottom w:val="0"/>
          <w:divBdr>
            <w:top w:val="none" w:sz="0" w:space="0" w:color="auto"/>
            <w:left w:val="none" w:sz="0" w:space="0" w:color="auto"/>
            <w:bottom w:val="none" w:sz="0" w:space="0" w:color="auto"/>
            <w:right w:val="none" w:sz="0" w:space="0" w:color="auto"/>
          </w:divBdr>
        </w:div>
      </w:divsChild>
    </w:div>
    <w:div w:id="827746758">
      <w:bodyDiv w:val="1"/>
      <w:marLeft w:val="0"/>
      <w:marRight w:val="0"/>
      <w:marTop w:val="0"/>
      <w:marBottom w:val="0"/>
      <w:divBdr>
        <w:top w:val="none" w:sz="0" w:space="0" w:color="auto"/>
        <w:left w:val="none" w:sz="0" w:space="0" w:color="auto"/>
        <w:bottom w:val="none" w:sz="0" w:space="0" w:color="auto"/>
        <w:right w:val="none" w:sz="0" w:space="0" w:color="auto"/>
      </w:divBdr>
    </w:div>
    <w:div w:id="898714733">
      <w:bodyDiv w:val="1"/>
      <w:marLeft w:val="0"/>
      <w:marRight w:val="0"/>
      <w:marTop w:val="0"/>
      <w:marBottom w:val="0"/>
      <w:divBdr>
        <w:top w:val="none" w:sz="0" w:space="0" w:color="auto"/>
        <w:left w:val="none" w:sz="0" w:space="0" w:color="auto"/>
        <w:bottom w:val="none" w:sz="0" w:space="0" w:color="auto"/>
        <w:right w:val="none" w:sz="0" w:space="0" w:color="auto"/>
      </w:divBdr>
    </w:div>
    <w:div w:id="1064371984">
      <w:bodyDiv w:val="1"/>
      <w:marLeft w:val="0"/>
      <w:marRight w:val="0"/>
      <w:marTop w:val="0"/>
      <w:marBottom w:val="0"/>
      <w:divBdr>
        <w:top w:val="none" w:sz="0" w:space="0" w:color="auto"/>
        <w:left w:val="none" w:sz="0" w:space="0" w:color="auto"/>
        <w:bottom w:val="none" w:sz="0" w:space="0" w:color="auto"/>
        <w:right w:val="none" w:sz="0" w:space="0" w:color="auto"/>
      </w:divBdr>
    </w:div>
    <w:div w:id="1190339415">
      <w:bodyDiv w:val="1"/>
      <w:marLeft w:val="0"/>
      <w:marRight w:val="0"/>
      <w:marTop w:val="0"/>
      <w:marBottom w:val="0"/>
      <w:divBdr>
        <w:top w:val="none" w:sz="0" w:space="0" w:color="auto"/>
        <w:left w:val="none" w:sz="0" w:space="0" w:color="auto"/>
        <w:bottom w:val="none" w:sz="0" w:space="0" w:color="auto"/>
        <w:right w:val="none" w:sz="0" w:space="0" w:color="auto"/>
      </w:divBdr>
    </w:div>
    <w:div w:id="1190534831">
      <w:bodyDiv w:val="1"/>
      <w:marLeft w:val="0"/>
      <w:marRight w:val="0"/>
      <w:marTop w:val="0"/>
      <w:marBottom w:val="0"/>
      <w:divBdr>
        <w:top w:val="none" w:sz="0" w:space="0" w:color="auto"/>
        <w:left w:val="none" w:sz="0" w:space="0" w:color="auto"/>
        <w:bottom w:val="none" w:sz="0" w:space="0" w:color="auto"/>
        <w:right w:val="none" w:sz="0" w:space="0" w:color="auto"/>
      </w:divBdr>
    </w:div>
    <w:div w:id="1344086064">
      <w:bodyDiv w:val="1"/>
      <w:marLeft w:val="0"/>
      <w:marRight w:val="0"/>
      <w:marTop w:val="0"/>
      <w:marBottom w:val="0"/>
      <w:divBdr>
        <w:top w:val="none" w:sz="0" w:space="0" w:color="auto"/>
        <w:left w:val="none" w:sz="0" w:space="0" w:color="auto"/>
        <w:bottom w:val="none" w:sz="0" w:space="0" w:color="auto"/>
        <w:right w:val="none" w:sz="0" w:space="0" w:color="auto"/>
      </w:divBdr>
    </w:div>
    <w:div w:id="1456145229">
      <w:bodyDiv w:val="1"/>
      <w:marLeft w:val="0"/>
      <w:marRight w:val="0"/>
      <w:marTop w:val="0"/>
      <w:marBottom w:val="0"/>
      <w:divBdr>
        <w:top w:val="none" w:sz="0" w:space="0" w:color="auto"/>
        <w:left w:val="none" w:sz="0" w:space="0" w:color="auto"/>
        <w:bottom w:val="none" w:sz="0" w:space="0" w:color="auto"/>
        <w:right w:val="none" w:sz="0" w:space="0" w:color="auto"/>
      </w:divBdr>
      <w:divsChild>
        <w:div w:id="1233542416">
          <w:marLeft w:val="0"/>
          <w:marRight w:val="0"/>
          <w:marTop w:val="0"/>
          <w:marBottom w:val="0"/>
          <w:divBdr>
            <w:top w:val="none" w:sz="0" w:space="0" w:color="auto"/>
            <w:left w:val="none" w:sz="0" w:space="0" w:color="auto"/>
            <w:bottom w:val="none" w:sz="0" w:space="0" w:color="auto"/>
            <w:right w:val="none" w:sz="0" w:space="0" w:color="auto"/>
          </w:divBdr>
          <w:divsChild>
            <w:div w:id="572931168">
              <w:marLeft w:val="0"/>
              <w:marRight w:val="0"/>
              <w:marTop w:val="0"/>
              <w:marBottom w:val="0"/>
              <w:divBdr>
                <w:top w:val="none" w:sz="0" w:space="0" w:color="auto"/>
                <w:left w:val="none" w:sz="0" w:space="0" w:color="auto"/>
                <w:bottom w:val="none" w:sz="0" w:space="0" w:color="auto"/>
                <w:right w:val="none" w:sz="0" w:space="0" w:color="auto"/>
              </w:divBdr>
            </w:div>
            <w:div w:id="618606911">
              <w:marLeft w:val="0"/>
              <w:marRight w:val="0"/>
              <w:marTop w:val="0"/>
              <w:marBottom w:val="0"/>
              <w:divBdr>
                <w:top w:val="none" w:sz="0" w:space="0" w:color="auto"/>
                <w:left w:val="none" w:sz="0" w:space="0" w:color="auto"/>
                <w:bottom w:val="none" w:sz="0" w:space="0" w:color="auto"/>
                <w:right w:val="none" w:sz="0" w:space="0" w:color="auto"/>
              </w:divBdr>
            </w:div>
            <w:div w:id="1212231407">
              <w:marLeft w:val="0"/>
              <w:marRight w:val="0"/>
              <w:marTop w:val="0"/>
              <w:marBottom w:val="0"/>
              <w:divBdr>
                <w:top w:val="none" w:sz="0" w:space="0" w:color="auto"/>
                <w:left w:val="none" w:sz="0" w:space="0" w:color="auto"/>
                <w:bottom w:val="none" w:sz="0" w:space="0" w:color="auto"/>
                <w:right w:val="none" w:sz="0" w:space="0" w:color="auto"/>
              </w:divBdr>
            </w:div>
            <w:div w:id="1449357065">
              <w:marLeft w:val="0"/>
              <w:marRight w:val="0"/>
              <w:marTop w:val="0"/>
              <w:marBottom w:val="0"/>
              <w:divBdr>
                <w:top w:val="none" w:sz="0" w:space="0" w:color="auto"/>
                <w:left w:val="none" w:sz="0" w:space="0" w:color="auto"/>
                <w:bottom w:val="none" w:sz="0" w:space="0" w:color="auto"/>
                <w:right w:val="none" w:sz="0" w:space="0" w:color="auto"/>
              </w:divBdr>
            </w:div>
            <w:div w:id="197710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382462">
      <w:bodyDiv w:val="1"/>
      <w:marLeft w:val="0"/>
      <w:marRight w:val="0"/>
      <w:marTop w:val="0"/>
      <w:marBottom w:val="0"/>
      <w:divBdr>
        <w:top w:val="none" w:sz="0" w:space="0" w:color="auto"/>
        <w:left w:val="none" w:sz="0" w:space="0" w:color="auto"/>
        <w:bottom w:val="none" w:sz="0" w:space="0" w:color="auto"/>
        <w:right w:val="none" w:sz="0" w:space="0" w:color="auto"/>
      </w:divBdr>
    </w:div>
    <w:div w:id="1598564388">
      <w:bodyDiv w:val="1"/>
      <w:marLeft w:val="0"/>
      <w:marRight w:val="0"/>
      <w:marTop w:val="0"/>
      <w:marBottom w:val="0"/>
      <w:divBdr>
        <w:top w:val="none" w:sz="0" w:space="0" w:color="auto"/>
        <w:left w:val="none" w:sz="0" w:space="0" w:color="auto"/>
        <w:bottom w:val="none" w:sz="0" w:space="0" w:color="auto"/>
        <w:right w:val="none" w:sz="0" w:space="0" w:color="auto"/>
      </w:divBdr>
    </w:div>
    <w:div w:id="1733040429">
      <w:bodyDiv w:val="1"/>
      <w:marLeft w:val="0"/>
      <w:marRight w:val="0"/>
      <w:marTop w:val="0"/>
      <w:marBottom w:val="0"/>
      <w:divBdr>
        <w:top w:val="none" w:sz="0" w:space="0" w:color="auto"/>
        <w:left w:val="none" w:sz="0" w:space="0" w:color="auto"/>
        <w:bottom w:val="none" w:sz="0" w:space="0" w:color="auto"/>
        <w:right w:val="none" w:sz="0" w:space="0" w:color="auto"/>
      </w:divBdr>
    </w:div>
    <w:div w:id="1775127752">
      <w:bodyDiv w:val="1"/>
      <w:marLeft w:val="0"/>
      <w:marRight w:val="0"/>
      <w:marTop w:val="0"/>
      <w:marBottom w:val="0"/>
      <w:divBdr>
        <w:top w:val="none" w:sz="0" w:space="0" w:color="auto"/>
        <w:left w:val="none" w:sz="0" w:space="0" w:color="auto"/>
        <w:bottom w:val="none" w:sz="0" w:space="0" w:color="auto"/>
        <w:right w:val="none" w:sz="0" w:space="0" w:color="auto"/>
      </w:divBdr>
    </w:div>
    <w:div w:id="1797069012">
      <w:bodyDiv w:val="1"/>
      <w:marLeft w:val="0"/>
      <w:marRight w:val="0"/>
      <w:marTop w:val="0"/>
      <w:marBottom w:val="0"/>
      <w:divBdr>
        <w:top w:val="none" w:sz="0" w:space="0" w:color="auto"/>
        <w:left w:val="none" w:sz="0" w:space="0" w:color="auto"/>
        <w:bottom w:val="none" w:sz="0" w:space="0" w:color="auto"/>
        <w:right w:val="none" w:sz="0" w:space="0" w:color="auto"/>
      </w:divBdr>
    </w:div>
    <w:div w:id="1912424689">
      <w:bodyDiv w:val="1"/>
      <w:marLeft w:val="0"/>
      <w:marRight w:val="0"/>
      <w:marTop w:val="0"/>
      <w:marBottom w:val="0"/>
      <w:divBdr>
        <w:top w:val="none" w:sz="0" w:space="0" w:color="auto"/>
        <w:left w:val="none" w:sz="0" w:space="0" w:color="auto"/>
        <w:bottom w:val="none" w:sz="0" w:space="0" w:color="auto"/>
        <w:right w:val="none" w:sz="0" w:space="0" w:color="auto"/>
      </w:divBdr>
    </w:div>
    <w:div w:id="2026789944">
      <w:bodyDiv w:val="1"/>
      <w:marLeft w:val="0"/>
      <w:marRight w:val="0"/>
      <w:marTop w:val="0"/>
      <w:marBottom w:val="0"/>
      <w:divBdr>
        <w:top w:val="none" w:sz="0" w:space="0" w:color="auto"/>
        <w:left w:val="none" w:sz="0" w:space="0" w:color="auto"/>
        <w:bottom w:val="none" w:sz="0" w:space="0" w:color="auto"/>
        <w:right w:val="none" w:sz="0" w:space="0" w:color="auto"/>
      </w:divBdr>
    </w:div>
    <w:div w:id="2034920044">
      <w:bodyDiv w:val="1"/>
      <w:marLeft w:val="0"/>
      <w:marRight w:val="0"/>
      <w:marTop w:val="0"/>
      <w:marBottom w:val="0"/>
      <w:divBdr>
        <w:top w:val="none" w:sz="0" w:space="0" w:color="auto"/>
        <w:left w:val="none" w:sz="0" w:space="0" w:color="auto"/>
        <w:bottom w:val="none" w:sz="0" w:space="0" w:color="auto"/>
        <w:right w:val="none" w:sz="0" w:space="0" w:color="auto"/>
      </w:divBdr>
    </w:div>
    <w:div w:id="2072534526">
      <w:bodyDiv w:val="1"/>
      <w:marLeft w:val="0"/>
      <w:marRight w:val="0"/>
      <w:marTop w:val="0"/>
      <w:marBottom w:val="0"/>
      <w:divBdr>
        <w:top w:val="none" w:sz="0" w:space="0" w:color="auto"/>
        <w:left w:val="none" w:sz="0" w:space="0" w:color="auto"/>
        <w:bottom w:val="none" w:sz="0" w:space="0" w:color="auto"/>
        <w:right w:val="none" w:sz="0" w:space="0" w:color="auto"/>
      </w:divBdr>
    </w:div>
    <w:div w:id="2099323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bm.com/investor/governance/senior-leadership" TargetMode="External"/><Relationship Id="rId18" Type="http://schemas.openxmlformats.org/officeDocument/2006/relationships/hyperlink" Target="https://newsroom.ibm.com/Mohamad-Ali" TargetMode="External"/><Relationship Id="rId26" Type="http://schemas.openxmlformats.org/officeDocument/2006/relationships/hyperlink" Target="https://newsroom.ibm.com/Dinesh-Nirmal" TargetMode="External"/><Relationship Id="rId39" Type="http://schemas.openxmlformats.org/officeDocument/2006/relationships/image" Target="media/image7.png"/><Relationship Id="rId21" Type="http://schemas.openxmlformats.org/officeDocument/2006/relationships/hyperlink" Target="https://newsroom.ibm.com/Jay-Gambetta" TargetMode="External"/><Relationship Id="rId34" Type="http://schemas.openxmlformats.org/officeDocument/2006/relationships/hyperlink" Target="mailto:james.cheatham@myflfamilies.com" TargetMode="External"/><Relationship Id="rId42" Type="http://schemas.openxmlformats.org/officeDocument/2006/relationships/footer" Target="footer2.xml"/><Relationship Id="rId47"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newsroom.ibm.com/Arvind-Krishna" TargetMode="External"/><Relationship Id="rId29" Type="http://schemas.openxmlformats.org/officeDocument/2006/relationships/hyperlink" Target="https://newsroom.ibm.com/Rob-Thomas" TargetMode="External"/><Relationship Id="rId11" Type="http://schemas.openxmlformats.org/officeDocument/2006/relationships/hyperlink" Target="mailto:Doug.Vincent@dhcs.ca.gov" TargetMode="External"/><Relationship Id="rId24" Type="http://schemas.openxmlformats.org/officeDocument/2006/relationships/hyperlink" Target="https://newsroom.ibm.com/Nickle-LaMoreaux" TargetMode="External"/><Relationship Id="rId32" Type="http://schemas.openxmlformats.org/officeDocument/2006/relationships/image" Target="media/image3.png"/><Relationship Id="rId37" Type="http://schemas.openxmlformats.org/officeDocument/2006/relationships/oleObject" Target="embeddings/oleObject1.bin"/><Relationship Id="rId40" Type="http://schemas.openxmlformats.org/officeDocument/2006/relationships/image" Target="media/image8.png"/><Relationship Id="rId45"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yperlink" Target="https://newsroom.ibm.com/James-J-Kavanaugh" TargetMode="External"/><Relationship Id="rId28" Type="http://schemas.openxmlformats.org/officeDocument/2006/relationships/hyperlink" Target="https://newsroom.ibm.com/Alexander-F-Stern" TargetMode="External"/><Relationship Id="rId36" Type="http://schemas.openxmlformats.org/officeDocument/2006/relationships/image" Target="media/image5.emf"/><Relationship Id="rId49" Type="http://schemas.openxmlformats.org/officeDocument/2006/relationships/customXml" Target="../customXml/item6.xml"/><Relationship Id="rId10" Type="http://schemas.openxmlformats.org/officeDocument/2006/relationships/hyperlink" Target="mailto:Doug.Vincent@dhcs.ca.gov" TargetMode="External"/><Relationship Id="rId19" Type="http://schemas.openxmlformats.org/officeDocument/2006/relationships/hyperlink" Target="https://newsroom.ibm.com/Ana-Paula-Assis" TargetMode="External"/><Relationship Id="rId31" Type="http://schemas.openxmlformats.org/officeDocument/2006/relationships/hyperlink" Target="https://newsroom.ibm.com/Kareem-Yusuf"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newsroom.ibm.com/John-Granger" TargetMode="External"/><Relationship Id="rId22" Type="http://schemas.openxmlformats.org/officeDocument/2006/relationships/hyperlink" Target="https://newsroom.ibm.com/John-Granger" TargetMode="External"/><Relationship Id="rId27" Type="http://schemas.openxmlformats.org/officeDocument/2006/relationships/hyperlink" Target="https://newsroom.ibm.com/Anne-Robinson" TargetMode="External"/><Relationship Id="rId30" Type="http://schemas.openxmlformats.org/officeDocument/2006/relationships/hyperlink" Target="https://newsroom.ibm.com/joanne-wright" TargetMode="External"/><Relationship Id="rId35" Type="http://schemas.openxmlformats.org/officeDocument/2006/relationships/hyperlink" Target="https://www.dnb.com/business-directory/company-profiles.international_business_machines_corporation.30a99070acc09cf685dec0f456bbd3af.html" TargetMode="External"/><Relationship Id="rId43" Type="http://schemas.openxmlformats.org/officeDocument/2006/relationships/fontTable" Target="fontTable.xml"/><Relationship Id="rId48" Type="http://schemas.openxmlformats.org/officeDocument/2006/relationships/customXml" Target="../customXml/item5.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newsroom.ibm.com/James-J-Kavanaugh" TargetMode="External"/><Relationship Id="rId17" Type="http://schemas.openxmlformats.org/officeDocument/2006/relationships/hyperlink" Target="https://newsroom.ibm.com/Jonathan-Adashek" TargetMode="External"/><Relationship Id="rId25" Type="http://schemas.openxmlformats.org/officeDocument/2006/relationships/hyperlink" Target="https://newsroom.ibm.com/Ric-Lewis" TargetMode="External"/><Relationship Id="rId33" Type="http://schemas.openxmlformats.org/officeDocument/2006/relationships/image" Target="media/image4.png"/><Relationship Id="rId38" Type="http://schemas.openxmlformats.org/officeDocument/2006/relationships/image" Target="media/image6.png"/><Relationship Id="rId46" Type="http://schemas.openxmlformats.org/officeDocument/2006/relationships/customXml" Target="../customXml/item3.xml"/><Relationship Id="rId20" Type="http://schemas.openxmlformats.org/officeDocument/2006/relationships/hyperlink" Target="https://newsroom.ibm.com/Gary-Cohn-2" TargetMode="Externa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emsEstrella\OneDrive%20-%20IBM\IBM%20Consulting%20Generic%20Proposal%20Template%202025_Arial%2011.dotx" TargetMode="External"/></Relationships>
</file>

<file path=word/theme/theme1.xml><?xml version="1.0" encoding="utf-8"?>
<a:theme xmlns:a="http://schemas.openxmlformats.org/drawingml/2006/main" name="Office Theme">
  <a:themeElements>
    <a:clrScheme name="Q2C Proposal Template">
      <a:dk1>
        <a:srgbClr val="000000"/>
      </a:dk1>
      <a:lt1>
        <a:srgbClr val="FFFFFF"/>
      </a:lt1>
      <a:dk2>
        <a:srgbClr val="000000"/>
      </a:dk2>
      <a:lt2>
        <a:srgbClr val="42474C"/>
      </a:lt2>
      <a:accent1>
        <a:srgbClr val="003F69"/>
      </a:accent1>
      <a:accent2>
        <a:srgbClr val="008ABF"/>
      </a:accent2>
      <a:accent3>
        <a:srgbClr val="00A6A0"/>
      </a:accent3>
      <a:accent4>
        <a:srgbClr val="86BE4A"/>
      </a:accent4>
      <a:accent5>
        <a:srgbClr val="C52636"/>
      </a:accent5>
      <a:accent6>
        <a:srgbClr val="E48A3F"/>
      </a:accent6>
      <a:hlink>
        <a:srgbClr val="008ABF"/>
      </a:hlink>
      <a:folHlink>
        <a:srgbClr val="6B737C"/>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7F886295FD50240A51205FADCF73148" ma:contentTypeVersion="3" ma:contentTypeDescription="Create a new document." ma:contentTypeScope="" ma:versionID="d723d2944177a3e679142524ab19b624">
  <xsd:schema xmlns:xsd="http://www.w3.org/2001/XMLSchema" xmlns:xs="http://www.w3.org/2001/XMLSchema" xmlns:p="http://schemas.microsoft.com/office/2006/metadata/properties" xmlns:ns2="500343c0-af67-4d55-b6f3-a7838e163d14" xmlns:ns3="3c52f3de-f6ea-4171-9f59-d185ac51bd8c" targetNamespace="http://schemas.microsoft.com/office/2006/metadata/properties" ma:root="true" ma:fieldsID="9e0a1e31ded1f46a996e91767901b4fc" ns2:_="" ns3:_="">
    <xsd:import namespace="500343c0-af67-4d55-b6f3-a7838e163d14"/>
    <xsd:import namespace="3c52f3de-f6ea-4171-9f59-d185ac51bd8c"/>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c52f3de-f6ea-4171-9f59-d185ac51bd8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5bce90d6-5a2c-47e0-8337-aac7acda0e97" ContentTypeId="0x0101" PreviousValue="false" LastSyncTimeStamp="2017-02-08T00:21:31.92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W3A6JUTVPN6F-1912509297-126</_dlc_DocId>
    <_dlc_DocIdUrl xmlns="500343c0-af67-4d55-b6f3-a7838e163d14">
      <Url>https://osicagov.sharepoint.com/sites/CalSAWS_Procurement/_layouts/15/DocIdRedir.aspx?ID=W3A6JUTVPN6F-1912509297-126</Url>
      <Description>W3A6JUTVPN6F-1912509297-126</Description>
    </_dlc_DocIdUrl>
  </documentManagement>
</p:properties>
</file>

<file path=customXml/itemProps1.xml><?xml version="1.0" encoding="utf-8"?>
<ds:datastoreItem xmlns:ds="http://schemas.openxmlformats.org/officeDocument/2006/customXml" ds:itemID="{95F7F4D9-2A68-49F0-B72F-CC02A3E5B6EE}">
  <ds:schemaRefs>
    <ds:schemaRef ds:uri="http://schemas.openxmlformats.org/officeDocument/2006/bibliography"/>
  </ds:schemaRefs>
</ds:datastoreItem>
</file>

<file path=customXml/itemProps2.xml><?xml version="1.0" encoding="utf-8"?>
<ds:datastoreItem xmlns:ds="http://schemas.openxmlformats.org/officeDocument/2006/customXml" ds:itemID="{BCD8405C-963F-4E50-B6A6-8C99C4D69D08}"/>
</file>

<file path=customXml/itemProps3.xml><?xml version="1.0" encoding="utf-8"?>
<ds:datastoreItem xmlns:ds="http://schemas.openxmlformats.org/officeDocument/2006/customXml" ds:itemID="{CD1ECE30-B24D-4C50-8AD2-37AE7376DDD6}"/>
</file>

<file path=customXml/itemProps4.xml><?xml version="1.0" encoding="utf-8"?>
<ds:datastoreItem xmlns:ds="http://schemas.openxmlformats.org/officeDocument/2006/customXml" ds:itemID="{1C79E253-C720-4471-9C36-AA04EF853C46}"/>
</file>

<file path=customXml/itemProps5.xml><?xml version="1.0" encoding="utf-8"?>
<ds:datastoreItem xmlns:ds="http://schemas.openxmlformats.org/officeDocument/2006/customXml" ds:itemID="{879D1F38-3EE5-4F16-8C52-7EFE8B6317EE}"/>
</file>

<file path=customXml/itemProps6.xml><?xml version="1.0" encoding="utf-8"?>
<ds:datastoreItem xmlns:ds="http://schemas.openxmlformats.org/officeDocument/2006/customXml" ds:itemID="{33ED587C-B887-4595-9715-FB06D140AEDA}"/>
</file>

<file path=docProps/app.xml><?xml version="1.0" encoding="utf-8"?>
<Properties xmlns="http://schemas.openxmlformats.org/officeDocument/2006/extended-properties" xmlns:vt="http://schemas.openxmlformats.org/officeDocument/2006/docPropsVTypes">
  <Template>IBM Consulting Generic Proposal Template 2025_Arial 11</Template>
  <TotalTime>590</TotalTime>
  <Pages>18</Pages>
  <Words>3538</Words>
  <Characters>24373</Characters>
  <Application>Microsoft Office Word</Application>
  <DocSecurity>0</DocSecurity>
  <Lines>203</Lines>
  <Paragraphs>55</Paragraphs>
  <ScaleCrop>false</ScaleCrop>
  <Company>IBM</Company>
  <LinksUpToDate>false</LinksUpToDate>
  <CharactersWithSpaces>27856</CharactersWithSpaces>
  <SharedDoc>false</SharedDoc>
  <HLinks>
    <vt:vector size="204" baseType="variant">
      <vt:variant>
        <vt:i4>1704049</vt:i4>
      </vt:variant>
      <vt:variant>
        <vt:i4>147</vt:i4>
      </vt:variant>
      <vt:variant>
        <vt:i4>0</vt:i4>
      </vt:variant>
      <vt:variant>
        <vt:i4>5</vt:i4>
      </vt:variant>
      <vt:variant>
        <vt:lpwstr>https://www.dnb.com/business-directory/company-profiles.international_business_machines_corporation.30a99070acc09cf685dec0f456bbd3af.html</vt:lpwstr>
      </vt:variant>
      <vt:variant>
        <vt:lpwstr/>
      </vt:variant>
      <vt:variant>
        <vt:i4>4980772</vt:i4>
      </vt:variant>
      <vt:variant>
        <vt:i4>144</vt:i4>
      </vt:variant>
      <vt:variant>
        <vt:i4>0</vt:i4>
      </vt:variant>
      <vt:variant>
        <vt:i4>5</vt:i4>
      </vt:variant>
      <vt:variant>
        <vt:lpwstr>mailto:james.cheatham@myflfamilies.com</vt:lpwstr>
      </vt:variant>
      <vt:variant>
        <vt:lpwstr/>
      </vt:variant>
      <vt:variant>
        <vt:i4>6160389</vt:i4>
      </vt:variant>
      <vt:variant>
        <vt:i4>138</vt:i4>
      </vt:variant>
      <vt:variant>
        <vt:i4>0</vt:i4>
      </vt:variant>
      <vt:variant>
        <vt:i4>5</vt:i4>
      </vt:variant>
      <vt:variant>
        <vt:lpwstr>https://newsroom.ibm.com/Kareem-Yusuf</vt:lpwstr>
      </vt:variant>
      <vt:variant>
        <vt:lpwstr/>
      </vt:variant>
      <vt:variant>
        <vt:i4>2490484</vt:i4>
      </vt:variant>
      <vt:variant>
        <vt:i4>135</vt:i4>
      </vt:variant>
      <vt:variant>
        <vt:i4>0</vt:i4>
      </vt:variant>
      <vt:variant>
        <vt:i4>5</vt:i4>
      </vt:variant>
      <vt:variant>
        <vt:lpwstr>https://newsroom.ibm.com/joanne-wright</vt:lpwstr>
      </vt:variant>
      <vt:variant>
        <vt:lpwstr/>
      </vt:variant>
      <vt:variant>
        <vt:i4>6619169</vt:i4>
      </vt:variant>
      <vt:variant>
        <vt:i4>132</vt:i4>
      </vt:variant>
      <vt:variant>
        <vt:i4>0</vt:i4>
      </vt:variant>
      <vt:variant>
        <vt:i4>5</vt:i4>
      </vt:variant>
      <vt:variant>
        <vt:lpwstr>https://newsroom.ibm.com/Rob-Thomas</vt:lpwstr>
      </vt:variant>
      <vt:variant>
        <vt:lpwstr/>
      </vt:variant>
      <vt:variant>
        <vt:i4>6422655</vt:i4>
      </vt:variant>
      <vt:variant>
        <vt:i4>129</vt:i4>
      </vt:variant>
      <vt:variant>
        <vt:i4>0</vt:i4>
      </vt:variant>
      <vt:variant>
        <vt:i4>5</vt:i4>
      </vt:variant>
      <vt:variant>
        <vt:lpwstr>https://newsroom.ibm.com/Alexander-F-Stern</vt:lpwstr>
      </vt:variant>
      <vt:variant>
        <vt:lpwstr/>
      </vt:variant>
      <vt:variant>
        <vt:i4>3539068</vt:i4>
      </vt:variant>
      <vt:variant>
        <vt:i4>126</vt:i4>
      </vt:variant>
      <vt:variant>
        <vt:i4>0</vt:i4>
      </vt:variant>
      <vt:variant>
        <vt:i4>5</vt:i4>
      </vt:variant>
      <vt:variant>
        <vt:lpwstr>https://newsroom.ibm.com/Anne-Robinson</vt:lpwstr>
      </vt:variant>
      <vt:variant>
        <vt:lpwstr/>
      </vt:variant>
      <vt:variant>
        <vt:i4>3342463</vt:i4>
      </vt:variant>
      <vt:variant>
        <vt:i4>123</vt:i4>
      </vt:variant>
      <vt:variant>
        <vt:i4>0</vt:i4>
      </vt:variant>
      <vt:variant>
        <vt:i4>5</vt:i4>
      </vt:variant>
      <vt:variant>
        <vt:lpwstr>https://newsroom.ibm.com/Dinesh-Nirmal</vt:lpwstr>
      </vt:variant>
      <vt:variant>
        <vt:lpwstr/>
      </vt:variant>
      <vt:variant>
        <vt:i4>7733294</vt:i4>
      </vt:variant>
      <vt:variant>
        <vt:i4>120</vt:i4>
      </vt:variant>
      <vt:variant>
        <vt:i4>0</vt:i4>
      </vt:variant>
      <vt:variant>
        <vt:i4>5</vt:i4>
      </vt:variant>
      <vt:variant>
        <vt:lpwstr>https://newsroom.ibm.com/Ric-Lewis</vt:lpwstr>
      </vt:variant>
      <vt:variant>
        <vt:lpwstr/>
      </vt:variant>
      <vt:variant>
        <vt:i4>6094867</vt:i4>
      </vt:variant>
      <vt:variant>
        <vt:i4>117</vt:i4>
      </vt:variant>
      <vt:variant>
        <vt:i4>0</vt:i4>
      </vt:variant>
      <vt:variant>
        <vt:i4>5</vt:i4>
      </vt:variant>
      <vt:variant>
        <vt:lpwstr>https://newsroom.ibm.com/Nickle-LaMoreaux</vt:lpwstr>
      </vt:variant>
      <vt:variant>
        <vt:lpwstr/>
      </vt:variant>
      <vt:variant>
        <vt:i4>8323172</vt:i4>
      </vt:variant>
      <vt:variant>
        <vt:i4>114</vt:i4>
      </vt:variant>
      <vt:variant>
        <vt:i4>0</vt:i4>
      </vt:variant>
      <vt:variant>
        <vt:i4>5</vt:i4>
      </vt:variant>
      <vt:variant>
        <vt:lpwstr>https://newsroom.ibm.com/James-J-Kavanaugh</vt:lpwstr>
      </vt:variant>
      <vt:variant>
        <vt:lpwstr/>
      </vt:variant>
      <vt:variant>
        <vt:i4>5832710</vt:i4>
      </vt:variant>
      <vt:variant>
        <vt:i4>111</vt:i4>
      </vt:variant>
      <vt:variant>
        <vt:i4>0</vt:i4>
      </vt:variant>
      <vt:variant>
        <vt:i4>5</vt:i4>
      </vt:variant>
      <vt:variant>
        <vt:lpwstr>https://newsroom.ibm.com/John-Granger</vt:lpwstr>
      </vt:variant>
      <vt:variant>
        <vt:lpwstr/>
      </vt:variant>
      <vt:variant>
        <vt:i4>458845</vt:i4>
      </vt:variant>
      <vt:variant>
        <vt:i4>108</vt:i4>
      </vt:variant>
      <vt:variant>
        <vt:i4>0</vt:i4>
      </vt:variant>
      <vt:variant>
        <vt:i4>5</vt:i4>
      </vt:variant>
      <vt:variant>
        <vt:lpwstr>https://newsroom.ibm.com/Jay-Gambetta</vt:lpwstr>
      </vt:variant>
      <vt:variant>
        <vt:lpwstr/>
      </vt:variant>
      <vt:variant>
        <vt:i4>262232</vt:i4>
      </vt:variant>
      <vt:variant>
        <vt:i4>105</vt:i4>
      </vt:variant>
      <vt:variant>
        <vt:i4>0</vt:i4>
      </vt:variant>
      <vt:variant>
        <vt:i4>5</vt:i4>
      </vt:variant>
      <vt:variant>
        <vt:lpwstr>https://newsroom.ibm.com/Gary-Cohn-2</vt:lpwstr>
      </vt:variant>
      <vt:variant>
        <vt:lpwstr/>
      </vt:variant>
      <vt:variant>
        <vt:i4>655391</vt:i4>
      </vt:variant>
      <vt:variant>
        <vt:i4>102</vt:i4>
      </vt:variant>
      <vt:variant>
        <vt:i4>0</vt:i4>
      </vt:variant>
      <vt:variant>
        <vt:i4>5</vt:i4>
      </vt:variant>
      <vt:variant>
        <vt:lpwstr>https://newsroom.ibm.com/Ana-Paula-Assis</vt:lpwstr>
      </vt:variant>
      <vt:variant>
        <vt:lpwstr/>
      </vt:variant>
      <vt:variant>
        <vt:i4>720968</vt:i4>
      </vt:variant>
      <vt:variant>
        <vt:i4>99</vt:i4>
      </vt:variant>
      <vt:variant>
        <vt:i4>0</vt:i4>
      </vt:variant>
      <vt:variant>
        <vt:i4>5</vt:i4>
      </vt:variant>
      <vt:variant>
        <vt:lpwstr>https://newsroom.ibm.com/Mohamad-Ali</vt:lpwstr>
      </vt:variant>
      <vt:variant>
        <vt:lpwstr/>
      </vt:variant>
      <vt:variant>
        <vt:i4>4259846</vt:i4>
      </vt:variant>
      <vt:variant>
        <vt:i4>96</vt:i4>
      </vt:variant>
      <vt:variant>
        <vt:i4>0</vt:i4>
      </vt:variant>
      <vt:variant>
        <vt:i4>5</vt:i4>
      </vt:variant>
      <vt:variant>
        <vt:lpwstr>https://newsroom.ibm.com/Jonathan-Adashek</vt:lpwstr>
      </vt:variant>
      <vt:variant>
        <vt:lpwstr/>
      </vt:variant>
      <vt:variant>
        <vt:i4>3407987</vt:i4>
      </vt:variant>
      <vt:variant>
        <vt:i4>93</vt:i4>
      </vt:variant>
      <vt:variant>
        <vt:i4>0</vt:i4>
      </vt:variant>
      <vt:variant>
        <vt:i4>5</vt:i4>
      </vt:variant>
      <vt:variant>
        <vt:lpwstr>https://newsroom.ibm.com/Arvind-Krishna</vt:lpwstr>
      </vt:variant>
      <vt:variant>
        <vt:lpwstr/>
      </vt:variant>
      <vt:variant>
        <vt:i4>4390982</vt:i4>
      </vt:variant>
      <vt:variant>
        <vt:i4>87</vt:i4>
      </vt:variant>
      <vt:variant>
        <vt:i4>0</vt:i4>
      </vt:variant>
      <vt:variant>
        <vt:i4>5</vt:i4>
      </vt:variant>
      <vt:variant>
        <vt:lpwstr>https://newsroom.ibm.com/John-Granger</vt:lpwstr>
      </vt:variant>
      <vt:variant>
        <vt:lpwstr>::text=Chairman%2C%20IBM%20Consulting</vt:lpwstr>
      </vt:variant>
      <vt:variant>
        <vt:i4>7471156</vt:i4>
      </vt:variant>
      <vt:variant>
        <vt:i4>84</vt:i4>
      </vt:variant>
      <vt:variant>
        <vt:i4>0</vt:i4>
      </vt:variant>
      <vt:variant>
        <vt:i4>5</vt:i4>
      </vt:variant>
      <vt:variant>
        <vt:lpwstr>https://www.ibm.com/investor/governance/senior-leadership</vt:lpwstr>
      </vt:variant>
      <vt:variant>
        <vt:lpwstr>::text=Jonathan%20H,President%2C%20Marketing%20and%20Communications</vt:lpwstr>
      </vt:variant>
      <vt:variant>
        <vt:i4>4194322</vt:i4>
      </vt:variant>
      <vt:variant>
        <vt:i4>81</vt:i4>
      </vt:variant>
      <vt:variant>
        <vt:i4>0</vt:i4>
      </vt:variant>
      <vt:variant>
        <vt:i4>5</vt:i4>
      </vt:variant>
      <vt:variant>
        <vt:lpwstr>https://newsroom.ibm.com/James-J-Kavanaugh</vt:lpwstr>
      </vt:variant>
      <vt:variant>
        <vt:lpwstr>::text=Senior%20Vice%20President%20and%20Chief,Financial%20Officer</vt:lpwstr>
      </vt:variant>
      <vt:variant>
        <vt:i4>4194404</vt:i4>
      </vt:variant>
      <vt:variant>
        <vt:i4>78</vt:i4>
      </vt:variant>
      <vt:variant>
        <vt:i4>0</vt:i4>
      </vt:variant>
      <vt:variant>
        <vt:i4>5</vt:i4>
      </vt:variant>
      <vt:variant>
        <vt:lpwstr>mailto:Doug.Vincent@dhcs.ca.gov</vt:lpwstr>
      </vt:variant>
      <vt:variant>
        <vt:lpwstr/>
      </vt:variant>
      <vt:variant>
        <vt:i4>4194404</vt:i4>
      </vt:variant>
      <vt:variant>
        <vt:i4>75</vt:i4>
      </vt:variant>
      <vt:variant>
        <vt:i4>0</vt:i4>
      </vt:variant>
      <vt:variant>
        <vt:i4>5</vt:i4>
      </vt:variant>
      <vt:variant>
        <vt:lpwstr>mailto:Doug.Vincent@dhcs.ca.gov</vt:lpwstr>
      </vt:variant>
      <vt:variant>
        <vt:lpwstr/>
      </vt:variant>
      <vt:variant>
        <vt:i4>1048639</vt:i4>
      </vt:variant>
      <vt:variant>
        <vt:i4>68</vt:i4>
      </vt:variant>
      <vt:variant>
        <vt:i4>0</vt:i4>
      </vt:variant>
      <vt:variant>
        <vt:i4>5</vt:i4>
      </vt:variant>
      <vt:variant>
        <vt:lpwstr/>
      </vt:variant>
      <vt:variant>
        <vt:lpwstr>_Toc213061872</vt:lpwstr>
      </vt:variant>
      <vt:variant>
        <vt:i4>1966128</vt:i4>
      </vt:variant>
      <vt:variant>
        <vt:i4>59</vt:i4>
      </vt:variant>
      <vt:variant>
        <vt:i4>0</vt:i4>
      </vt:variant>
      <vt:variant>
        <vt:i4>5</vt:i4>
      </vt:variant>
      <vt:variant>
        <vt:lpwstr/>
      </vt:variant>
      <vt:variant>
        <vt:lpwstr>_Toc213061793</vt:lpwstr>
      </vt:variant>
      <vt:variant>
        <vt:i4>1966128</vt:i4>
      </vt:variant>
      <vt:variant>
        <vt:i4>53</vt:i4>
      </vt:variant>
      <vt:variant>
        <vt:i4>0</vt:i4>
      </vt:variant>
      <vt:variant>
        <vt:i4>5</vt:i4>
      </vt:variant>
      <vt:variant>
        <vt:lpwstr/>
      </vt:variant>
      <vt:variant>
        <vt:lpwstr>_Toc213061792</vt:lpwstr>
      </vt:variant>
      <vt:variant>
        <vt:i4>1966128</vt:i4>
      </vt:variant>
      <vt:variant>
        <vt:i4>47</vt:i4>
      </vt:variant>
      <vt:variant>
        <vt:i4>0</vt:i4>
      </vt:variant>
      <vt:variant>
        <vt:i4>5</vt:i4>
      </vt:variant>
      <vt:variant>
        <vt:lpwstr/>
      </vt:variant>
      <vt:variant>
        <vt:lpwstr>_Toc213061791</vt:lpwstr>
      </vt:variant>
      <vt:variant>
        <vt:i4>1114167</vt:i4>
      </vt:variant>
      <vt:variant>
        <vt:i4>38</vt:i4>
      </vt:variant>
      <vt:variant>
        <vt:i4>0</vt:i4>
      </vt:variant>
      <vt:variant>
        <vt:i4>5</vt:i4>
      </vt:variant>
      <vt:variant>
        <vt:lpwstr/>
      </vt:variant>
      <vt:variant>
        <vt:lpwstr>_Toc213066014</vt:lpwstr>
      </vt:variant>
      <vt:variant>
        <vt:i4>1114167</vt:i4>
      </vt:variant>
      <vt:variant>
        <vt:i4>32</vt:i4>
      </vt:variant>
      <vt:variant>
        <vt:i4>0</vt:i4>
      </vt:variant>
      <vt:variant>
        <vt:i4>5</vt:i4>
      </vt:variant>
      <vt:variant>
        <vt:lpwstr/>
      </vt:variant>
      <vt:variant>
        <vt:lpwstr>_Toc213066013</vt:lpwstr>
      </vt:variant>
      <vt:variant>
        <vt:i4>1114167</vt:i4>
      </vt:variant>
      <vt:variant>
        <vt:i4>26</vt:i4>
      </vt:variant>
      <vt:variant>
        <vt:i4>0</vt:i4>
      </vt:variant>
      <vt:variant>
        <vt:i4>5</vt:i4>
      </vt:variant>
      <vt:variant>
        <vt:lpwstr/>
      </vt:variant>
      <vt:variant>
        <vt:lpwstr>_Toc213066012</vt:lpwstr>
      </vt:variant>
      <vt:variant>
        <vt:i4>1114167</vt:i4>
      </vt:variant>
      <vt:variant>
        <vt:i4>20</vt:i4>
      </vt:variant>
      <vt:variant>
        <vt:i4>0</vt:i4>
      </vt:variant>
      <vt:variant>
        <vt:i4>5</vt:i4>
      </vt:variant>
      <vt:variant>
        <vt:lpwstr/>
      </vt:variant>
      <vt:variant>
        <vt:lpwstr>_Toc213066011</vt:lpwstr>
      </vt:variant>
      <vt:variant>
        <vt:i4>1114167</vt:i4>
      </vt:variant>
      <vt:variant>
        <vt:i4>14</vt:i4>
      </vt:variant>
      <vt:variant>
        <vt:i4>0</vt:i4>
      </vt:variant>
      <vt:variant>
        <vt:i4>5</vt:i4>
      </vt:variant>
      <vt:variant>
        <vt:lpwstr/>
      </vt:variant>
      <vt:variant>
        <vt:lpwstr>_Toc213066010</vt:lpwstr>
      </vt:variant>
      <vt:variant>
        <vt:i4>1048631</vt:i4>
      </vt:variant>
      <vt:variant>
        <vt:i4>8</vt:i4>
      </vt:variant>
      <vt:variant>
        <vt:i4>0</vt:i4>
      </vt:variant>
      <vt:variant>
        <vt:i4>5</vt:i4>
      </vt:variant>
      <vt:variant>
        <vt:lpwstr/>
      </vt:variant>
      <vt:variant>
        <vt:lpwstr>_Toc213066009</vt:lpwstr>
      </vt:variant>
      <vt:variant>
        <vt:i4>1048631</vt:i4>
      </vt:variant>
      <vt:variant>
        <vt:i4>2</vt:i4>
      </vt:variant>
      <vt:variant>
        <vt:i4>0</vt:i4>
      </vt:variant>
      <vt:variant>
        <vt:i4>5</vt:i4>
      </vt:variant>
      <vt:variant>
        <vt:lpwstr/>
      </vt:variant>
      <vt:variant>
        <vt:lpwstr>_Toc213066008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Yems Estrella</dc:creator>
  <cp:keywords/>
  <cp:lastModifiedBy>Cheria Blomme</cp:lastModifiedBy>
  <cp:revision>319</cp:revision>
  <cp:lastPrinted>2025-10-27T22:58:00Z</cp:lastPrinted>
  <dcterms:created xsi:type="dcterms:W3CDTF">2025-08-27T14:03:00Z</dcterms:created>
  <dcterms:modified xsi:type="dcterms:W3CDTF">2025-11-03T22:43:00Z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0x01010007F886295FD50240A51205FADCF73148</vt:lpwstr>
  </property>
  <property fmtid="{D5CDD505-2E9C-101B-9397-08002B2CF9AE}" pid="3" name="_dlc_DocIdItemGuid">
    <vt:lpwstr>865d0840-34c9-41dd-a776-9bf2b321255a</vt:lpwstr>
  </property>
</Properties>
</file>